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ADEF" w14:textId="3F306FCD" w:rsidR="006B6263" w:rsidRDefault="00000557">
      <w:r>
        <w:rPr>
          <w:noProof/>
        </w:rPr>
        <mc:AlternateContent>
          <mc:Choice Requires="wps">
            <w:drawing>
              <wp:anchor distT="45720" distB="45720" distL="114300" distR="114300" simplePos="0" relativeHeight="251659264" behindDoc="0" locked="0" layoutInCell="1" allowOverlap="1" wp14:anchorId="053DCB0F" wp14:editId="5D9024BA">
                <wp:simplePos x="0" y="0"/>
                <wp:positionH relativeFrom="margin">
                  <wp:posOffset>1851660</wp:posOffset>
                </wp:positionH>
                <wp:positionV relativeFrom="paragraph">
                  <wp:posOffset>373380</wp:posOffset>
                </wp:positionV>
                <wp:extent cx="5151120" cy="12877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287780"/>
                        </a:xfrm>
                        <a:prstGeom prst="rect">
                          <a:avLst/>
                        </a:prstGeom>
                        <a:solidFill>
                          <a:srgbClr val="FFFFFF"/>
                        </a:solidFill>
                        <a:ln w="9525">
                          <a:solidFill>
                            <a:schemeClr val="bg1"/>
                          </a:solidFill>
                          <a:miter lim="800000"/>
                          <a:headEnd/>
                          <a:tailEnd/>
                        </a:ln>
                      </wps:spPr>
                      <wps:txbx>
                        <w:txbxContent>
                          <w:p w14:paraId="34852AD7" w14:textId="77777777" w:rsidR="00000557" w:rsidRPr="00000557" w:rsidRDefault="00E93056" w:rsidP="00E93056">
                            <w:pPr>
                              <w:jc w:val="center"/>
                              <w:rPr>
                                <w:b/>
                                <w:bCs/>
                                <w:sz w:val="48"/>
                                <w:szCs w:val="48"/>
                              </w:rPr>
                            </w:pPr>
                            <w:r w:rsidRPr="00000557">
                              <w:rPr>
                                <w:b/>
                                <w:bCs/>
                                <w:sz w:val="48"/>
                                <w:szCs w:val="48"/>
                              </w:rPr>
                              <w:t xml:space="preserve">GROVE CHALLENGERS </w:t>
                            </w:r>
                            <w:r w:rsidR="00000557" w:rsidRPr="00000557">
                              <w:rPr>
                                <w:b/>
                                <w:bCs/>
                                <w:sz w:val="48"/>
                                <w:szCs w:val="48"/>
                              </w:rPr>
                              <w:t>FOOTBALL CLUB</w:t>
                            </w:r>
                          </w:p>
                          <w:p w14:paraId="28F575A2" w14:textId="67D6BFB3" w:rsidR="00E93056" w:rsidRPr="00E93056" w:rsidRDefault="00E93056" w:rsidP="00E93056">
                            <w:pPr>
                              <w:jc w:val="center"/>
                              <w:rPr>
                                <w:b/>
                                <w:bCs/>
                                <w:sz w:val="36"/>
                                <w:szCs w:val="36"/>
                              </w:rPr>
                            </w:pPr>
                            <w:r w:rsidRPr="00000557">
                              <w:rPr>
                                <w:b/>
                                <w:bCs/>
                                <w:sz w:val="48"/>
                                <w:szCs w:val="48"/>
                              </w:rPr>
                              <w:t>COVID-19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DCB0F" id="_x0000_t202" coordsize="21600,21600" o:spt="202" path="m,l,21600r21600,l21600,xe">
                <v:stroke joinstyle="miter"/>
                <v:path gradientshapeok="t" o:connecttype="rect"/>
              </v:shapetype>
              <v:shape id="Text Box 2" o:spid="_x0000_s1026" type="#_x0000_t202" style="position:absolute;margin-left:145.8pt;margin-top:29.4pt;width:405.6pt;height:10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" strokecolor="white [3212]">
                <v:textbox>
                  <w:txbxContent>
                    <w:p w14:paraId="34852AD7" w14:textId="77777777" w:rsidR="00000557" w:rsidRPr="00000557" w:rsidRDefault="00E93056" w:rsidP="00E93056">
                      <w:pPr>
                        <w:jc w:val="center"/>
                        <w:rPr>
                          <w:b/>
                          <w:bCs/>
                          <w:sz w:val="48"/>
                          <w:szCs w:val="48"/>
                        </w:rPr>
                      </w:pPr>
                      <w:r w:rsidRPr="00000557">
                        <w:rPr>
                          <w:b/>
                          <w:bCs/>
                          <w:sz w:val="48"/>
                          <w:szCs w:val="48"/>
                        </w:rPr>
                        <w:t xml:space="preserve">GROVE CHALLENGERS </w:t>
                      </w:r>
                      <w:r w:rsidR="00000557" w:rsidRPr="00000557">
                        <w:rPr>
                          <w:b/>
                          <w:bCs/>
                          <w:sz w:val="48"/>
                          <w:szCs w:val="48"/>
                        </w:rPr>
                        <w:t>FOOTBALL CLUB</w:t>
                      </w:r>
                    </w:p>
                    <w:p w14:paraId="28F575A2" w14:textId="67D6BFB3" w:rsidR="00E93056" w:rsidRPr="00E93056" w:rsidRDefault="00E93056" w:rsidP="00E93056">
                      <w:pPr>
                        <w:jc w:val="center"/>
                        <w:rPr>
                          <w:b/>
                          <w:bCs/>
                          <w:sz w:val="36"/>
                          <w:szCs w:val="36"/>
                        </w:rPr>
                      </w:pPr>
                      <w:r w:rsidRPr="00000557">
                        <w:rPr>
                          <w:b/>
                          <w:bCs/>
                          <w:sz w:val="48"/>
                          <w:szCs w:val="48"/>
                        </w:rPr>
                        <w:t>COVID-19 RISK ASSESSMENT</w:t>
                      </w:r>
                    </w:p>
                  </w:txbxContent>
                </v:textbox>
                <w10:wrap type="square" anchorx="margin"/>
              </v:shape>
            </w:pict>
          </mc:Fallback>
        </mc:AlternateContent>
      </w:r>
      <w:r w:rsidR="00E93056">
        <w:rPr>
          <w:noProof/>
        </w:rPr>
        <w:drawing>
          <wp:inline distT="0" distB="0" distL="0" distR="0" wp14:anchorId="7B4179E4" wp14:editId="2D58DA49">
            <wp:extent cx="1714500" cy="1766455"/>
            <wp:effectExtent l="0" t="0" r="0" b="5715"/>
            <wp:docPr id="2" name="Picture 1">
              <a:extLst xmlns:a="http://schemas.openxmlformats.org/drawingml/2006/main">
                <a:ext uri="{FF2B5EF4-FFF2-40B4-BE49-F238E27FC236}">
                  <a16:creationId xmlns:a16="http://schemas.microsoft.com/office/drawing/2014/main" id="{7EC75D4A-921B-4FE9-8B99-DDD5537D33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C75D4A-921B-4FE9-8B99-DDD5537D3329}"/>
                        </a:ext>
                      </a:extLst>
                    </pic:cNvPr>
                    <pic:cNvPicPr>
                      <a:picLocks noChangeAspect="1"/>
                    </pic:cNvPicPr>
                  </pic:nvPicPr>
                  <pic:blipFill>
                    <a:blip r:embed="rId10"/>
                    <a:stretch>
                      <a:fillRect/>
                    </a:stretch>
                  </pic:blipFill>
                  <pic:spPr>
                    <a:xfrm>
                      <a:off x="0" y="0"/>
                      <a:ext cx="1788653" cy="1842855"/>
                    </a:xfrm>
                    <a:prstGeom prst="rect">
                      <a:avLst/>
                    </a:prstGeom>
                  </pic:spPr>
                </pic:pic>
              </a:graphicData>
            </a:graphic>
          </wp:inline>
        </w:drawing>
      </w:r>
    </w:p>
    <w:p w14:paraId="463122D7" w14:textId="6612698B" w:rsidR="00000557" w:rsidRDefault="00000557"/>
    <w:p w14:paraId="6B67F8B9" w14:textId="403DDEB8" w:rsidR="00000557" w:rsidRDefault="006C68E5">
      <w:r>
        <w:rPr>
          <w:noProof/>
        </w:rPr>
        <mc:AlternateContent>
          <mc:Choice Requires="wps">
            <w:drawing>
              <wp:anchor distT="45720" distB="45720" distL="114300" distR="114300" simplePos="0" relativeHeight="251661312" behindDoc="1" locked="0" layoutInCell="1" allowOverlap="1" wp14:anchorId="26955251" wp14:editId="20787CDA">
                <wp:simplePos x="0" y="0"/>
                <wp:positionH relativeFrom="column">
                  <wp:posOffset>-41910</wp:posOffset>
                </wp:positionH>
                <wp:positionV relativeFrom="paragraph">
                  <wp:posOffset>182880</wp:posOffset>
                </wp:positionV>
                <wp:extent cx="9441180" cy="1404620"/>
                <wp:effectExtent l="0" t="0" r="762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1180" cy="1404620"/>
                        </a:xfrm>
                        <a:prstGeom prst="rect">
                          <a:avLst/>
                        </a:prstGeom>
                        <a:solidFill>
                          <a:srgbClr val="FFFFFF"/>
                        </a:solidFill>
                        <a:ln w="9525">
                          <a:noFill/>
                          <a:miter lim="800000"/>
                          <a:headEnd/>
                          <a:tailEnd/>
                        </a:ln>
                      </wps:spPr>
                      <wps:txbx>
                        <w:txbxContent>
                          <w:p w14:paraId="0FC3E9D0" w14:textId="69ED8D8D" w:rsidR="00000557" w:rsidRPr="00C447E3" w:rsidRDefault="00E93056" w:rsidP="006C68E5">
                            <w:pPr>
                              <w:jc w:val="both"/>
                              <w:rPr>
                                <w:sz w:val="24"/>
                                <w:szCs w:val="24"/>
                              </w:rPr>
                            </w:pPr>
                            <w:r w:rsidRPr="00C447E3">
                              <w:rPr>
                                <w:b/>
                                <w:bCs/>
                                <w:sz w:val="24"/>
                                <w:szCs w:val="24"/>
                              </w:rPr>
                              <w:t>Summary Statement:</w:t>
                            </w:r>
                            <w:r w:rsidRPr="00C447E3">
                              <w:rPr>
                                <w:sz w:val="24"/>
                                <w:szCs w:val="24"/>
                              </w:rPr>
                              <w:t xml:space="preserve">  </w:t>
                            </w:r>
                          </w:p>
                          <w:p w14:paraId="29F49068" w14:textId="01779F59" w:rsidR="00E93056" w:rsidRPr="00C447E3" w:rsidRDefault="00E93056" w:rsidP="006C68E5">
                            <w:pPr>
                              <w:jc w:val="both"/>
                              <w:rPr>
                                <w:sz w:val="24"/>
                                <w:szCs w:val="24"/>
                              </w:rPr>
                            </w:pPr>
                            <w:r w:rsidRPr="00C447E3">
                              <w:rPr>
                                <w:sz w:val="24"/>
                                <w:szCs w:val="24"/>
                              </w:rPr>
                              <w:t xml:space="preserve">Grove Challengers is a grassroots football club supporting the village of Grove and the surrounding Towns and Villages.  It is run by volunteers, and the club has a duty of care to do everything possible to mitigate risks associated with Covid-19 to players, coaches, and the general public.   This report has been produced in line with current government guidelines and also the most current and up to date advice from the FA (www.theFA.com) and all club activities must take place in line with these guidelines.  If the club believes activities are not deemed to be following guidelines, training will be cancelled.  This report </w:t>
                            </w:r>
                            <w:r w:rsidR="00E65DD2">
                              <w:rPr>
                                <w:sz w:val="24"/>
                                <w:szCs w:val="24"/>
                              </w:rPr>
                              <w:t>has been updated in line with</w:t>
                            </w:r>
                            <w:r w:rsidR="00607BBE">
                              <w:rPr>
                                <w:sz w:val="24"/>
                                <w:szCs w:val="24"/>
                              </w:rPr>
                              <w:t xml:space="preserve"> guidance released 18/07/20, and </w:t>
                            </w:r>
                            <w:r w:rsidRPr="00C447E3">
                              <w:rPr>
                                <w:sz w:val="24"/>
                                <w:szCs w:val="24"/>
                              </w:rPr>
                              <w:t xml:space="preserve">will </w:t>
                            </w:r>
                            <w:r w:rsidR="00042FD6">
                              <w:rPr>
                                <w:sz w:val="24"/>
                                <w:szCs w:val="24"/>
                              </w:rPr>
                              <w:t xml:space="preserve">continue to </w:t>
                            </w:r>
                            <w:r w:rsidRPr="00C447E3">
                              <w:rPr>
                                <w:sz w:val="24"/>
                                <w:szCs w:val="24"/>
                              </w:rPr>
                              <w:t>be updated in line with any changes in legislation as they happen.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55251" id="_x0000_s1027" type="#_x0000_t202" style="position:absolute;margin-left:-3.3pt;margin-top:14.4pt;width:743.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" stroked="f">
                <v:textbox style="mso-fit-shape-to-text:t">
                  <w:txbxContent>
                    <w:p w14:paraId="0FC3E9D0" w14:textId="69ED8D8D" w:rsidR="00000557" w:rsidRPr="00C447E3" w:rsidRDefault="00E93056" w:rsidP="006C68E5">
                      <w:pPr>
                        <w:jc w:val="both"/>
                        <w:rPr>
                          <w:sz w:val="24"/>
                          <w:szCs w:val="24"/>
                        </w:rPr>
                      </w:pPr>
                      <w:r w:rsidRPr="00C447E3">
                        <w:rPr>
                          <w:b/>
                          <w:bCs/>
                          <w:sz w:val="24"/>
                          <w:szCs w:val="24"/>
                        </w:rPr>
                        <w:t>Summary Statement:</w:t>
                      </w:r>
                      <w:r w:rsidRPr="00C447E3">
                        <w:rPr>
                          <w:sz w:val="24"/>
                          <w:szCs w:val="24"/>
                        </w:rPr>
                        <w:t xml:space="preserve">  </w:t>
                      </w:r>
                    </w:p>
                    <w:p w14:paraId="29F49068" w14:textId="01779F59" w:rsidR="00E93056" w:rsidRPr="00C447E3" w:rsidRDefault="00E93056" w:rsidP="006C68E5">
                      <w:pPr>
                        <w:jc w:val="both"/>
                        <w:rPr>
                          <w:sz w:val="24"/>
                          <w:szCs w:val="24"/>
                        </w:rPr>
                      </w:pPr>
                      <w:r w:rsidRPr="00C447E3">
                        <w:rPr>
                          <w:sz w:val="24"/>
                          <w:szCs w:val="24"/>
                        </w:rPr>
                        <w:t xml:space="preserve">Grove Challengers is a grassroots football club supporting the village of Grove and the surrounding Towns and Villages.  It is run by volunteers, and the club has a duty of care to do everything possible to mitigate risks associated with Covid-19 to players, coaches, and the general public.   This report has been produced in line with current government guidelines and also the most current and up to date advice from the FA (www.theFA.com) and all club activities must take place in line with these guidelines.  If the club believes activities are not deemed to be following guidelines, training will be cancelled.  This report </w:t>
                      </w:r>
                      <w:r w:rsidR="00E65DD2">
                        <w:rPr>
                          <w:sz w:val="24"/>
                          <w:szCs w:val="24"/>
                        </w:rPr>
                        <w:t>has been updated in line with</w:t>
                      </w:r>
                      <w:r w:rsidR="00607BBE">
                        <w:rPr>
                          <w:sz w:val="24"/>
                          <w:szCs w:val="24"/>
                        </w:rPr>
                        <w:t xml:space="preserve"> guidance released 18/07/20, and </w:t>
                      </w:r>
                      <w:r w:rsidRPr="00C447E3">
                        <w:rPr>
                          <w:sz w:val="24"/>
                          <w:szCs w:val="24"/>
                        </w:rPr>
                        <w:t xml:space="preserve">will </w:t>
                      </w:r>
                      <w:r w:rsidR="00042FD6">
                        <w:rPr>
                          <w:sz w:val="24"/>
                          <w:szCs w:val="24"/>
                        </w:rPr>
                        <w:t xml:space="preserve">continue to </w:t>
                      </w:r>
                      <w:r w:rsidRPr="00C447E3">
                        <w:rPr>
                          <w:sz w:val="24"/>
                          <w:szCs w:val="24"/>
                        </w:rPr>
                        <w:t>be updated in line with any changes in legislation as they happen.</w:t>
                      </w:r>
                    </w:p>
                  </w:txbxContent>
                </v:textbox>
              </v:shape>
            </w:pict>
          </mc:Fallback>
        </mc:AlternateContent>
      </w:r>
    </w:p>
    <w:p w14:paraId="1FCA60EA" w14:textId="31F4C155" w:rsidR="00000557" w:rsidRDefault="00000557"/>
    <w:p w14:paraId="15A9A8EE" w14:textId="28C27E24" w:rsidR="00000557" w:rsidRDefault="00000557"/>
    <w:p w14:paraId="486DF016" w14:textId="3CA060FF" w:rsidR="00000557" w:rsidRDefault="00000557"/>
    <w:p w14:paraId="6FB5EAC7" w14:textId="30FCD3D2" w:rsidR="00000557" w:rsidRDefault="00000557"/>
    <w:p w14:paraId="6E56FF1F" w14:textId="1A862E51" w:rsidR="00000557" w:rsidRDefault="00000557"/>
    <w:p w14:paraId="28AB9C30" w14:textId="5A93B135" w:rsidR="00000557" w:rsidRDefault="00000557"/>
    <w:tbl>
      <w:tblPr>
        <w:tblStyle w:val="TableGrid"/>
        <w:tblW w:w="0" w:type="auto"/>
        <w:tblLook w:val="04A0" w:firstRow="1" w:lastRow="0" w:firstColumn="1" w:lastColumn="0" w:noHBand="0" w:noVBand="1"/>
      </w:tblPr>
      <w:tblGrid>
        <w:gridCol w:w="2122"/>
        <w:gridCol w:w="3260"/>
      </w:tblGrid>
      <w:tr w:rsidR="00000557" w:rsidRPr="00C447E3" w14:paraId="1A36F148" w14:textId="77777777" w:rsidTr="0048282A">
        <w:tc>
          <w:tcPr>
            <w:tcW w:w="2122" w:type="dxa"/>
          </w:tcPr>
          <w:p w14:paraId="793F0802" w14:textId="0CCB11EC" w:rsidR="00000557" w:rsidRPr="00C447E3" w:rsidRDefault="00000557">
            <w:pPr>
              <w:rPr>
                <w:sz w:val="24"/>
                <w:szCs w:val="24"/>
              </w:rPr>
            </w:pPr>
            <w:r w:rsidRPr="00C447E3">
              <w:rPr>
                <w:sz w:val="24"/>
                <w:szCs w:val="24"/>
              </w:rPr>
              <w:t>Prepared by:</w:t>
            </w:r>
          </w:p>
        </w:tc>
        <w:tc>
          <w:tcPr>
            <w:tcW w:w="3260" w:type="dxa"/>
          </w:tcPr>
          <w:p w14:paraId="5742ACB0" w14:textId="77777777" w:rsidR="00000557" w:rsidRDefault="00000557">
            <w:pPr>
              <w:rPr>
                <w:sz w:val="24"/>
                <w:szCs w:val="24"/>
              </w:rPr>
            </w:pPr>
            <w:r w:rsidRPr="00C447E3">
              <w:rPr>
                <w:sz w:val="24"/>
                <w:szCs w:val="24"/>
              </w:rPr>
              <w:t>Grove Challengers Committee</w:t>
            </w:r>
          </w:p>
          <w:p w14:paraId="02232B0B" w14:textId="7A1D75F2" w:rsidR="00C447E3" w:rsidRPr="00C447E3" w:rsidRDefault="00C447E3">
            <w:pPr>
              <w:rPr>
                <w:sz w:val="24"/>
                <w:szCs w:val="24"/>
              </w:rPr>
            </w:pPr>
          </w:p>
        </w:tc>
      </w:tr>
      <w:tr w:rsidR="00000557" w:rsidRPr="00C447E3" w14:paraId="09EE02CC" w14:textId="77777777" w:rsidTr="0048282A">
        <w:tc>
          <w:tcPr>
            <w:tcW w:w="2122" w:type="dxa"/>
          </w:tcPr>
          <w:p w14:paraId="48D3180C" w14:textId="0E143046" w:rsidR="00000557" w:rsidRPr="00C447E3" w:rsidRDefault="00000557">
            <w:pPr>
              <w:rPr>
                <w:sz w:val="24"/>
                <w:szCs w:val="24"/>
              </w:rPr>
            </w:pPr>
            <w:r w:rsidRPr="00C447E3">
              <w:rPr>
                <w:sz w:val="24"/>
                <w:szCs w:val="24"/>
              </w:rPr>
              <w:t>Date Prepared:</w:t>
            </w:r>
          </w:p>
        </w:tc>
        <w:tc>
          <w:tcPr>
            <w:tcW w:w="3260" w:type="dxa"/>
          </w:tcPr>
          <w:p w14:paraId="5E827EF1" w14:textId="3849A9F9" w:rsidR="00000557" w:rsidRDefault="0001531C">
            <w:pPr>
              <w:rPr>
                <w:sz w:val="24"/>
                <w:szCs w:val="24"/>
              </w:rPr>
            </w:pPr>
            <w:r>
              <w:rPr>
                <w:sz w:val="24"/>
                <w:szCs w:val="24"/>
              </w:rPr>
              <w:t>9</w:t>
            </w:r>
            <w:r w:rsidRPr="00741D8B">
              <w:rPr>
                <w:sz w:val="24"/>
                <w:szCs w:val="24"/>
                <w:vertAlign w:val="superscript"/>
              </w:rPr>
              <w:t>th</w:t>
            </w:r>
            <w:r>
              <w:rPr>
                <w:sz w:val="24"/>
                <w:szCs w:val="24"/>
              </w:rPr>
              <w:t xml:space="preserve"> </w:t>
            </w:r>
            <w:r w:rsidR="00947CF0">
              <w:rPr>
                <w:sz w:val="24"/>
                <w:szCs w:val="24"/>
              </w:rPr>
              <w:t>September</w:t>
            </w:r>
            <w:r w:rsidR="0048282A" w:rsidRPr="00C447E3">
              <w:rPr>
                <w:sz w:val="24"/>
                <w:szCs w:val="24"/>
              </w:rPr>
              <w:t xml:space="preserve"> 2020</w:t>
            </w:r>
          </w:p>
          <w:p w14:paraId="654E5A60" w14:textId="33E7CBCE" w:rsidR="00C447E3" w:rsidRPr="00C447E3" w:rsidRDefault="00C447E3">
            <w:pPr>
              <w:rPr>
                <w:sz w:val="24"/>
                <w:szCs w:val="24"/>
              </w:rPr>
            </w:pPr>
          </w:p>
        </w:tc>
      </w:tr>
      <w:tr w:rsidR="00000557" w:rsidRPr="00C447E3" w14:paraId="330AD384" w14:textId="77777777" w:rsidTr="0048282A">
        <w:tc>
          <w:tcPr>
            <w:tcW w:w="2122" w:type="dxa"/>
          </w:tcPr>
          <w:p w14:paraId="0AEE117F" w14:textId="4B8AD63F" w:rsidR="00000557" w:rsidRPr="00C447E3" w:rsidRDefault="00000557">
            <w:pPr>
              <w:rPr>
                <w:sz w:val="24"/>
                <w:szCs w:val="24"/>
              </w:rPr>
            </w:pPr>
            <w:r w:rsidRPr="00C447E3">
              <w:rPr>
                <w:sz w:val="24"/>
                <w:szCs w:val="24"/>
              </w:rPr>
              <w:t>Date for review:</w:t>
            </w:r>
          </w:p>
        </w:tc>
        <w:tc>
          <w:tcPr>
            <w:tcW w:w="3260" w:type="dxa"/>
          </w:tcPr>
          <w:p w14:paraId="50605C19" w14:textId="6CA47C8B" w:rsidR="00000557" w:rsidRDefault="00947CF0">
            <w:pPr>
              <w:rPr>
                <w:sz w:val="24"/>
                <w:szCs w:val="24"/>
              </w:rPr>
            </w:pPr>
            <w:r>
              <w:rPr>
                <w:sz w:val="24"/>
                <w:szCs w:val="24"/>
              </w:rPr>
              <w:t>9</w:t>
            </w:r>
            <w:r w:rsidRPr="00741D8B">
              <w:rPr>
                <w:sz w:val="24"/>
                <w:szCs w:val="24"/>
                <w:vertAlign w:val="superscript"/>
              </w:rPr>
              <w:t>th</w:t>
            </w:r>
            <w:r>
              <w:rPr>
                <w:sz w:val="24"/>
                <w:szCs w:val="24"/>
              </w:rPr>
              <w:t xml:space="preserve"> Oct</w:t>
            </w:r>
            <w:r w:rsidR="0048282A" w:rsidRPr="00C447E3">
              <w:rPr>
                <w:sz w:val="24"/>
                <w:szCs w:val="24"/>
              </w:rPr>
              <w:t xml:space="preserve"> 2020</w:t>
            </w:r>
          </w:p>
          <w:p w14:paraId="6A21F041" w14:textId="4F4CCCF9" w:rsidR="00C447E3" w:rsidRPr="00C447E3" w:rsidRDefault="00C447E3">
            <w:pPr>
              <w:rPr>
                <w:sz w:val="24"/>
                <w:szCs w:val="24"/>
              </w:rPr>
            </w:pPr>
          </w:p>
        </w:tc>
      </w:tr>
      <w:tr w:rsidR="00000557" w:rsidRPr="00C447E3" w14:paraId="28D03183" w14:textId="77777777" w:rsidTr="0048282A">
        <w:tc>
          <w:tcPr>
            <w:tcW w:w="2122" w:type="dxa"/>
          </w:tcPr>
          <w:p w14:paraId="416149FE" w14:textId="2FA66048" w:rsidR="00000557" w:rsidRPr="00C447E3" w:rsidRDefault="00000557">
            <w:pPr>
              <w:rPr>
                <w:sz w:val="24"/>
                <w:szCs w:val="24"/>
              </w:rPr>
            </w:pPr>
            <w:r w:rsidRPr="00C447E3">
              <w:rPr>
                <w:sz w:val="24"/>
                <w:szCs w:val="24"/>
              </w:rPr>
              <w:t>Version</w:t>
            </w:r>
            <w:r w:rsidR="0048282A" w:rsidRPr="00C447E3">
              <w:rPr>
                <w:sz w:val="24"/>
                <w:szCs w:val="24"/>
              </w:rPr>
              <w:t>:</w:t>
            </w:r>
          </w:p>
        </w:tc>
        <w:tc>
          <w:tcPr>
            <w:tcW w:w="3260" w:type="dxa"/>
          </w:tcPr>
          <w:p w14:paraId="4E1038BA" w14:textId="39482B0E" w:rsidR="00000557" w:rsidRDefault="0001531C">
            <w:pPr>
              <w:rPr>
                <w:sz w:val="24"/>
                <w:szCs w:val="24"/>
              </w:rPr>
            </w:pPr>
            <w:r>
              <w:rPr>
                <w:sz w:val="24"/>
                <w:szCs w:val="24"/>
              </w:rPr>
              <w:t>3.</w:t>
            </w:r>
            <w:r w:rsidR="00741D8B">
              <w:rPr>
                <w:sz w:val="24"/>
                <w:szCs w:val="24"/>
              </w:rPr>
              <w:t>1</w:t>
            </w:r>
          </w:p>
          <w:p w14:paraId="4C606359" w14:textId="1BBA1DA6" w:rsidR="00C447E3" w:rsidRPr="00C447E3" w:rsidRDefault="00C447E3">
            <w:pPr>
              <w:rPr>
                <w:sz w:val="24"/>
                <w:szCs w:val="24"/>
              </w:rPr>
            </w:pPr>
          </w:p>
        </w:tc>
      </w:tr>
      <w:tr w:rsidR="006231EF" w:rsidRPr="00C447E3" w14:paraId="5656D588" w14:textId="77777777" w:rsidTr="0048282A">
        <w:tc>
          <w:tcPr>
            <w:tcW w:w="2122" w:type="dxa"/>
          </w:tcPr>
          <w:p w14:paraId="15333570" w14:textId="5059470D" w:rsidR="006231EF" w:rsidRPr="00C447E3" w:rsidRDefault="006231EF">
            <w:pPr>
              <w:rPr>
                <w:sz w:val="24"/>
                <w:szCs w:val="24"/>
              </w:rPr>
            </w:pPr>
            <w:r>
              <w:rPr>
                <w:sz w:val="24"/>
                <w:szCs w:val="24"/>
              </w:rPr>
              <w:t>Contact Details:</w:t>
            </w:r>
          </w:p>
        </w:tc>
        <w:tc>
          <w:tcPr>
            <w:tcW w:w="3260" w:type="dxa"/>
          </w:tcPr>
          <w:p w14:paraId="058F3B16" w14:textId="0DBDDCB8" w:rsidR="006231EF" w:rsidRDefault="00710D16">
            <w:pPr>
              <w:rPr>
                <w:sz w:val="24"/>
                <w:szCs w:val="24"/>
              </w:rPr>
            </w:pPr>
            <w:hyperlink r:id="rId11" w:history="1">
              <w:r w:rsidRPr="00D9714D">
                <w:rPr>
                  <w:rStyle w:val="Hyperlink"/>
                  <w:sz w:val="24"/>
                  <w:szCs w:val="24"/>
                </w:rPr>
                <w:t>gcfcsecretary@gmail.com</w:t>
              </w:r>
            </w:hyperlink>
          </w:p>
          <w:p w14:paraId="6895CFEE" w14:textId="35728619" w:rsidR="00710D16" w:rsidRDefault="00710D16">
            <w:pPr>
              <w:rPr>
                <w:sz w:val="24"/>
                <w:szCs w:val="24"/>
              </w:rPr>
            </w:pPr>
          </w:p>
        </w:tc>
      </w:tr>
    </w:tbl>
    <w:p w14:paraId="6F021AF0" w14:textId="5E1F128D" w:rsidR="00000557" w:rsidRPr="00C447E3" w:rsidRDefault="00000557">
      <w:pPr>
        <w:rPr>
          <w:sz w:val="24"/>
          <w:szCs w:val="24"/>
        </w:rPr>
      </w:pPr>
    </w:p>
    <w:p w14:paraId="6917A6DA" w14:textId="4B68EE28" w:rsidR="0048282A" w:rsidRDefault="0048282A"/>
    <w:p w14:paraId="06299DD0" w14:textId="77777777" w:rsidR="00092EE0" w:rsidRDefault="00092EE0" w:rsidP="002153AA">
      <w:pPr>
        <w:pStyle w:val="NoSpacing"/>
      </w:pPr>
    </w:p>
    <w:tbl>
      <w:tblPr>
        <w:tblStyle w:val="TableGrid"/>
        <w:tblW w:w="0" w:type="auto"/>
        <w:tblLook w:val="04A0" w:firstRow="1" w:lastRow="0" w:firstColumn="1" w:lastColumn="0" w:noHBand="0" w:noVBand="1"/>
      </w:tblPr>
      <w:tblGrid>
        <w:gridCol w:w="1962"/>
        <w:gridCol w:w="1481"/>
        <w:gridCol w:w="1072"/>
        <w:gridCol w:w="6112"/>
        <w:gridCol w:w="4252"/>
      </w:tblGrid>
      <w:tr w:rsidR="00B2264B" w14:paraId="03185333" w14:textId="7C2FB993" w:rsidTr="0098133A">
        <w:trPr>
          <w:tblHeader/>
        </w:trPr>
        <w:tc>
          <w:tcPr>
            <w:tcW w:w="1962" w:type="dxa"/>
          </w:tcPr>
          <w:p w14:paraId="360C10C9" w14:textId="53166C9D" w:rsidR="00B2264B" w:rsidRPr="00B2264B" w:rsidRDefault="00B2264B">
            <w:pPr>
              <w:rPr>
                <w:b/>
                <w:bCs/>
                <w:sz w:val="24"/>
                <w:szCs w:val="24"/>
              </w:rPr>
            </w:pPr>
            <w:r w:rsidRPr="00B2264B">
              <w:rPr>
                <w:b/>
                <w:bCs/>
                <w:sz w:val="24"/>
                <w:szCs w:val="24"/>
              </w:rPr>
              <w:t>Risk/Hazard:</w:t>
            </w:r>
          </w:p>
        </w:tc>
        <w:tc>
          <w:tcPr>
            <w:tcW w:w="1481" w:type="dxa"/>
          </w:tcPr>
          <w:p w14:paraId="07ECBB4D" w14:textId="6ADFDD60" w:rsidR="00B2264B" w:rsidRPr="00B2264B" w:rsidRDefault="00B2264B">
            <w:pPr>
              <w:rPr>
                <w:b/>
                <w:bCs/>
                <w:sz w:val="24"/>
                <w:szCs w:val="24"/>
              </w:rPr>
            </w:pPr>
            <w:r w:rsidRPr="00B2264B">
              <w:rPr>
                <w:b/>
                <w:bCs/>
                <w:sz w:val="24"/>
                <w:szCs w:val="24"/>
              </w:rPr>
              <w:t xml:space="preserve">Who might be </w:t>
            </w:r>
            <w:proofErr w:type="gramStart"/>
            <w:r w:rsidR="00170475">
              <w:rPr>
                <w:b/>
                <w:bCs/>
                <w:sz w:val="24"/>
                <w:szCs w:val="24"/>
              </w:rPr>
              <w:t>a</w:t>
            </w:r>
            <w:r w:rsidR="0056595B" w:rsidRPr="00B2264B">
              <w:rPr>
                <w:b/>
                <w:bCs/>
                <w:sz w:val="24"/>
                <w:szCs w:val="24"/>
              </w:rPr>
              <w:t>ffected:</w:t>
            </w:r>
            <w:proofErr w:type="gramEnd"/>
          </w:p>
        </w:tc>
        <w:tc>
          <w:tcPr>
            <w:tcW w:w="1072" w:type="dxa"/>
          </w:tcPr>
          <w:p w14:paraId="1FDA2901" w14:textId="316A292C" w:rsidR="00B2264B" w:rsidRPr="00B2264B" w:rsidRDefault="00B2264B">
            <w:pPr>
              <w:rPr>
                <w:b/>
                <w:bCs/>
                <w:sz w:val="24"/>
                <w:szCs w:val="24"/>
              </w:rPr>
            </w:pPr>
            <w:r w:rsidRPr="00B2264B">
              <w:rPr>
                <w:b/>
                <w:bCs/>
                <w:sz w:val="24"/>
                <w:szCs w:val="24"/>
              </w:rPr>
              <w:t>Level of Risk:</w:t>
            </w:r>
          </w:p>
        </w:tc>
        <w:tc>
          <w:tcPr>
            <w:tcW w:w="6112" w:type="dxa"/>
          </w:tcPr>
          <w:p w14:paraId="0F63CF67" w14:textId="0C74918C" w:rsidR="00B2264B" w:rsidRPr="00B2264B" w:rsidRDefault="00B2264B">
            <w:pPr>
              <w:rPr>
                <w:b/>
                <w:bCs/>
                <w:sz w:val="24"/>
                <w:szCs w:val="24"/>
              </w:rPr>
            </w:pPr>
            <w:r w:rsidRPr="00B2264B">
              <w:rPr>
                <w:b/>
                <w:bCs/>
                <w:sz w:val="24"/>
                <w:szCs w:val="24"/>
              </w:rPr>
              <w:t>Controls required</w:t>
            </w:r>
          </w:p>
        </w:tc>
        <w:tc>
          <w:tcPr>
            <w:tcW w:w="4252" w:type="dxa"/>
          </w:tcPr>
          <w:p w14:paraId="4DEF253A" w14:textId="3A2FE5E7" w:rsidR="00B2264B" w:rsidRPr="00B2264B" w:rsidRDefault="00B2264B">
            <w:pPr>
              <w:rPr>
                <w:b/>
                <w:bCs/>
                <w:sz w:val="24"/>
                <w:szCs w:val="24"/>
              </w:rPr>
            </w:pPr>
            <w:r w:rsidRPr="00B2264B">
              <w:rPr>
                <w:b/>
                <w:bCs/>
                <w:sz w:val="24"/>
                <w:szCs w:val="24"/>
              </w:rPr>
              <w:t>Additional controls/Future controls to be considered</w:t>
            </w:r>
            <w:r w:rsidR="003F5123">
              <w:rPr>
                <w:b/>
                <w:bCs/>
                <w:sz w:val="24"/>
                <w:szCs w:val="24"/>
              </w:rPr>
              <w:t xml:space="preserve"> and any other in</w:t>
            </w:r>
            <w:r w:rsidR="00664862">
              <w:rPr>
                <w:b/>
                <w:bCs/>
                <w:sz w:val="24"/>
                <w:szCs w:val="24"/>
              </w:rPr>
              <w:t>formation</w:t>
            </w:r>
            <w:r w:rsidRPr="00B2264B">
              <w:rPr>
                <w:b/>
                <w:bCs/>
                <w:sz w:val="24"/>
                <w:szCs w:val="24"/>
              </w:rPr>
              <w:t>:</w:t>
            </w:r>
          </w:p>
        </w:tc>
      </w:tr>
      <w:tr w:rsidR="00B2264B" w14:paraId="30AD39F6" w14:textId="5A2CFB64" w:rsidTr="00B2264B">
        <w:tc>
          <w:tcPr>
            <w:tcW w:w="1962" w:type="dxa"/>
          </w:tcPr>
          <w:p w14:paraId="573C8885" w14:textId="72ECE09E" w:rsidR="00B2264B" w:rsidRDefault="00B2264B">
            <w:r>
              <w:t>Arrival/Pick up of children from training</w:t>
            </w:r>
          </w:p>
        </w:tc>
        <w:tc>
          <w:tcPr>
            <w:tcW w:w="1481" w:type="dxa"/>
          </w:tcPr>
          <w:p w14:paraId="484E2A9D" w14:textId="7CD4C22E" w:rsidR="00B2264B" w:rsidRDefault="00B2264B">
            <w:r>
              <w:t>Parents, players and general public</w:t>
            </w:r>
          </w:p>
        </w:tc>
        <w:tc>
          <w:tcPr>
            <w:tcW w:w="1072" w:type="dxa"/>
          </w:tcPr>
          <w:p w14:paraId="79C5A0C6" w14:textId="1F2DDEB8" w:rsidR="00B2264B" w:rsidRDefault="00B2264B">
            <w:r>
              <w:t>Low</w:t>
            </w:r>
          </w:p>
        </w:tc>
        <w:tc>
          <w:tcPr>
            <w:tcW w:w="6112" w:type="dxa"/>
          </w:tcPr>
          <w:p w14:paraId="74ADF1D7" w14:textId="193A84CD" w:rsidR="00B2264B" w:rsidRDefault="00B2264B">
            <w:r w:rsidRPr="00247FE9">
              <w:t xml:space="preserve">There is plenty of parking available, both at the rugby club car park and also by the layby. </w:t>
            </w:r>
          </w:p>
          <w:p w14:paraId="6E114865" w14:textId="77777777" w:rsidR="00664862" w:rsidRDefault="00664862">
            <w:pPr>
              <w:rPr>
                <w:b/>
                <w:bCs/>
              </w:rPr>
            </w:pPr>
          </w:p>
          <w:p w14:paraId="0BEC5165" w14:textId="15BC82F2" w:rsidR="00B2264B" w:rsidRDefault="00B2264B">
            <w:r w:rsidRPr="00247FE9">
              <w:t xml:space="preserve">Parents are asked to respect the club </w:t>
            </w:r>
            <w:proofErr w:type="gramStart"/>
            <w:r w:rsidRPr="00247FE9">
              <w:t>rules, but</w:t>
            </w:r>
            <w:proofErr w:type="gramEnd"/>
            <w:r w:rsidRPr="00247FE9">
              <w:t xml:space="preserve"> are responsible for their own social distancing.</w:t>
            </w:r>
          </w:p>
          <w:p w14:paraId="2DB5C0AB" w14:textId="4C58F643" w:rsidR="00C447E3" w:rsidRDefault="00C447E3"/>
        </w:tc>
        <w:tc>
          <w:tcPr>
            <w:tcW w:w="4252" w:type="dxa"/>
          </w:tcPr>
          <w:p w14:paraId="3EC1D4E5" w14:textId="77777777" w:rsidR="00B2264B" w:rsidRDefault="00B2264B">
            <w:r w:rsidRPr="00536D09">
              <w:t xml:space="preserve">If </w:t>
            </w:r>
            <w:r>
              <w:t>a problem occurs</w:t>
            </w:r>
            <w:r w:rsidRPr="00536D09">
              <w:t>, parents will be reminded of the r</w:t>
            </w:r>
            <w:r>
              <w:t>ules</w:t>
            </w:r>
            <w:r w:rsidRPr="00536D09">
              <w:t xml:space="preserve">, and the club may </w:t>
            </w:r>
            <w:r>
              <w:t xml:space="preserve">consider further options: </w:t>
            </w:r>
          </w:p>
          <w:p w14:paraId="575870CB" w14:textId="77777777" w:rsidR="00C447E3" w:rsidRDefault="00C447E3"/>
          <w:p w14:paraId="21C5F429" w14:textId="03FB3622" w:rsidR="00B2264B" w:rsidRDefault="00B2264B">
            <w:r>
              <w:t>I</w:t>
            </w:r>
            <w:r w:rsidRPr="00536D09">
              <w:t>nstigate allocated car parks per team.</w:t>
            </w:r>
          </w:p>
          <w:p w14:paraId="5921A028" w14:textId="77777777" w:rsidR="00B2264B" w:rsidRDefault="00B2264B">
            <w:r>
              <w:t>Stagger training start times if there is congestion (6-7, 6.30-7.30 etc)</w:t>
            </w:r>
          </w:p>
          <w:p w14:paraId="0AB510EF" w14:textId="76EC0FA8" w:rsidR="00C447E3" w:rsidRDefault="00C447E3"/>
        </w:tc>
      </w:tr>
      <w:tr w:rsidR="00B2264B" w14:paraId="0139F1E9" w14:textId="06B5E8BD" w:rsidTr="00B2264B">
        <w:tc>
          <w:tcPr>
            <w:tcW w:w="1962" w:type="dxa"/>
          </w:tcPr>
          <w:p w14:paraId="0095640B" w14:textId="7E741980" w:rsidR="00B2264B" w:rsidRDefault="00B2264B">
            <w:r w:rsidRPr="00546E51">
              <w:t>Clubhouse Facilities</w:t>
            </w:r>
            <w:r w:rsidR="009D3ADE">
              <w:t>, b</w:t>
            </w:r>
            <w:r w:rsidRPr="00546E51">
              <w:t>oth use of clubhouse and access to</w:t>
            </w:r>
            <w:r w:rsidR="009F6808">
              <w:t xml:space="preserve"> it</w:t>
            </w:r>
            <w:r w:rsidRPr="00546E51">
              <w:t xml:space="preserve"> by way of locks, door handles etc.</w:t>
            </w:r>
          </w:p>
        </w:tc>
        <w:tc>
          <w:tcPr>
            <w:tcW w:w="1481" w:type="dxa"/>
          </w:tcPr>
          <w:p w14:paraId="7E2BAD05" w14:textId="40E72778" w:rsidR="00B2264B" w:rsidRDefault="00B2264B">
            <w:r>
              <w:t>Coaches, players</w:t>
            </w:r>
            <w:r w:rsidR="009F6808">
              <w:t>, spectators</w:t>
            </w:r>
          </w:p>
        </w:tc>
        <w:tc>
          <w:tcPr>
            <w:tcW w:w="1072" w:type="dxa"/>
          </w:tcPr>
          <w:p w14:paraId="6C998D67" w14:textId="4531ABAA" w:rsidR="00B2264B" w:rsidRDefault="00B2264B">
            <w:r>
              <w:t>Medium</w:t>
            </w:r>
          </w:p>
        </w:tc>
        <w:tc>
          <w:tcPr>
            <w:tcW w:w="6112" w:type="dxa"/>
          </w:tcPr>
          <w:p w14:paraId="6F0AFDD5" w14:textId="13570BAC" w:rsidR="00C447E3" w:rsidRDefault="00B2264B">
            <w:r w:rsidRPr="00B77EAB">
              <w:t xml:space="preserve">Due to the difficulty to ensure cleanliness and safety, </w:t>
            </w:r>
            <w:r>
              <w:t>the c</w:t>
            </w:r>
            <w:r w:rsidR="006D48AD">
              <w:t>lubhouse</w:t>
            </w:r>
            <w:r>
              <w:t xml:space="preserve"> </w:t>
            </w:r>
            <w:r w:rsidRPr="00467905">
              <w:rPr>
                <w:b/>
                <w:bCs/>
              </w:rPr>
              <w:t>must remain locked</w:t>
            </w:r>
            <w:r>
              <w:t>.  N</w:t>
            </w:r>
            <w:r w:rsidRPr="00B77EAB">
              <w:t xml:space="preserve">o </w:t>
            </w:r>
            <w:r w:rsidR="00D566CA">
              <w:t xml:space="preserve">entrance should be </w:t>
            </w:r>
            <w:r w:rsidR="005569A4">
              <w:t>allowed into the compound</w:t>
            </w:r>
            <w:r w:rsidR="005C3F1C">
              <w:t xml:space="preserve"> except coaches</w:t>
            </w:r>
            <w:r w:rsidR="00D83563">
              <w:t xml:space="preserve"> for equipment</w:t>
            </w:r>
          </w:p>
          <w:p w14:paraId="31BDCC89" w14:textId="77777777" w:rsidR="00C447E3" w:rsidRDefault="00C447E3"/>
          <w:p w14:paraId="7F821382" w14:textId="1FE7E390" w:rsidR="00B2264B" w:rsidRDefault="00B2264B">
            <w:r w:rsidRPr="00B77EAB">
              <w:t>This will mean toilets must remain locked during training</w:t>
            </w:r>
            <w:r w:rsidR="00D83563">
              <w:t xml:space="preserve"> and matches</w:t>
            </w:r>
            <w:r w:rsidRPr="00B77EAB">
              <w:t xml:space="preserve">. </w:t>
            </w:r>
          </w:p>
          <w:p w14:paraId="1AA743E3" w14:textId="77777777" w:rsidR="00B2264B" w:rsidRDefault="00B2264B"/>
          <w:p w14:paraId="59D2A612" w14:textId="595C7C09" w:rsidR="00C447E3" w:rsidRPr="007373BE" w:rsidRDefault="00C447E3">
            <w:pPr>
              <w:rPr>
                <w:b/>
                <w:bCs/>
              </w:rPr>
            </w:pPr>
          </w:p>
        </w:tc>
        <w:tc>
          <w:tcPr>
            <w:tcW w:w="4252" w:type="dxa"/>
          </w:tcPr>
          <w:p w14:paraId="0BAE5A21" w14:textId="3C0BFA7B" w:rsidR="00B2264B" w:rsidRDefault="00B2264B"/>
        </w:tc>
      </w:tr>
      <w:tr w:rsidR="00B2264B" w14:paraId="77DEEBA4" w14:textId="0D78C951" w:rsidTr="00B2264B">
        <w:tc>
          <w:tcPr>
            <w:tcW w:w="1962" w:type="dxa"/>
          </w:tcPr>
          <w:p w14:paraId="2702244E" w14:textId="65F3C0B1" w:rsidR="00B2264B" w:rsidRDefault="00B2264B">
            <w:r w:rsidRPr="00AB0867">
              <w:t xml:space="preserve">Player and coach </w:t>
            </w:r>
            <w:r>
              <w:t>hygiene</w:t>
            </w:r>
          </w:p>
        </w:tc>
        <w:tc>
          <w:tcPr>
            <w:tcW w:w="1481" w:type="dxa"/>
          </w:tcPr>
          <w:p w14:paraId="183781B5" w14:textId="4428D514" w:rsidR="00B2264B" w:rsidRDefault="00B2264B">
            <w:r>
              <w:t>Coaches and Players</w:t>
            </w:r>
          </w:p>
        </w:tc>
        <w:tc>
          <w:tcPr>
            <w:tcW w:w="1072" w:type="dxa"/>
          </w:tcPr>
          <w:p w14:paraId="2477B2AB" w14:textId="77FB669B" w:rsidR="00B2264B" w:rsidRDefault="00B2264B">
            <w:r>
              <w:t>Medium</w:t>
            </w:r>
          </w:p>
        </w:tc>
        <w:tc>
          <w:tcPr>
            <w:tcW w:w="6112" w:type="dxa"/>
          </w:tcPr>
          <w:p w14:paraId="4FFC845C" w14:textId="1085857F" w:rsidR="00B2264B" w:rsidRDefault="00B2264B">
            <w:r w:rsidRPr="00B77587">
              <w:t xml:space="preserve">All players and coaches must wear </w:t>
            </w:r>
            <w:r w:rsidRPr="007373BE">
              <w:rPr>
                <w:b/>
                <w:bCs/>
              </w:rPr>
              <w:t>clean kit</w:t>
            </w:r>
            <w:r w:rsidRPr="00B77587">
              <w:t xml:space="preserve">, bring their </w:t>
            </w:r>
            <w:r w:rsidRPr="007373BE">
              <w:rPr>
                <w:b/>
                <w:bCs/>
              </w:rPr>
              <w:t>own drinks</w:t>
            </w:r>
            <w:r w:rsidRPr="00B77587">
              <w:t xml:space="preserve"> (No sharing allowed) and </w:t>
            </w:r>
            <w:r w:rsidRPr="007373BE">
              <w:rPr>
                <w:b/>
                <w:bCs/>
              </w:rPr>
              <w:t>own hand sanitiser gel</w:t>
            </w:r>
            <w:r w:rsidRPr="00B77587">
              <w:t>.  All must wash hands shortly before attending training</w:t>
            </w:r>
            <w:r w:rsidR="00176DBA">
              <w:t xml:space="preserve"> (at home – no hand washing facilities available at the clubhouse)</w:t>
            </w:r>
            <w:r w:rsidRPr="00B77587">
              <w:t>.</w:t>
            </w:r>
          </w:p>
          <w:p w14:paraId="1F0E04E8" w14:textId="09384D5C" w:rsidR="006940CC" w:rsidRDefault="006940CC"/>
        </w:tc>
        <w:tc>
          <w:tcPr>
            <w:tcW w:w="4252" w:type="dxa"/>
          </w:tcPr>
          <w:p w14:paraId="6DCFD06F" w14:textId="17B70C29" w:rsidR="00B2264B" w:rsidRDefault="00B2264B">
            <w:r>
              <w:t>Consider asking players to wear gloves.</w:t>
            </w:r>
          </w:p>
        </w:tc>
      </w:tr>
      <w:tr w:rsidR="00B2264B" w14:paraId="6413C3A0" w14:textId="790679B8" w:rsidTr="00741D8B">
        <w:tc>
          <w:tcPr>
            <w:tcW w:w="1962" w:type="dxa"/>
          </w:tcPr>
          <w:p w14:paraId="3E02F358" w14:textId="07C7A8EA" w:rsidR="00B2264B" w:rsidRDefault="00B2264B">
            <w:r>
              <w:t>First Aid/Injuries</w:t>
            </w:r>
          </w:p>
        </w:tc>
        <w:tc>
          <w:tcPr>
            <w:tcW w:w="1481" w:type="dxa"/>
          </w:tcPr>
          <w:p w14:paraId="123E4379" w14:textId="74157E25" w:rsidR="00B2264B" w:rsidRDefault="00B2264B">
            <w:r>
              <w:t>Coaches and Players</w:t>
            </w:r>
          </w:p>
        </w:tc>
        <w:tc>
          <w:tcPr>
            <w:tcW w:w="1072" w:type="dxa"/>
          </w:tcPr>
          <w:p w14:paraId="79AF3DE3" w14:textId="15AB847D" w:rsidR="00B2264B" w:rsidRDefault="00B2264B">
            <w:r>
              <w:t>Medium</w:t>
            </w:r>
          </w:p>
        </w:tc>
        <w:tc>
          <w:tcPr>
            <w:tcW w:w="6112" w:type="dxa"/>
            <w:shd w:val="clear" w:color="auto" w:fill="auto"/>
          </w:tcPr>
          <w:p w14:paraId="1DC7C15C" w14:textId="17400F22" w:rsidR="00B2264B" w:rsidRDefault="00B2264B" w:rsidP="009C5E67">
            <w:r>
              <w:t>I</w:t>
            </w:r>
            <w:r w:rsidR="00A21648">
              <w:t xml:space="preserve">n the event of any </w:t>
            </w:r>
            <w:r w:rsidR="00B54E6B">
              <w:t xml:space="preserve">serious </w:t>
            </w:r>
            <w:r w:rsidR="00A21648">
              <w:t xml:space="preserve">injury, the </w:t>
            </w:r>
            <w:r w:rsidR="00F13A2F">
              <w:t xml:space="preserve">need for medical attention </w:t>
            </w:r>
            <w:r w:rsidR="009C5E67">
              <w:t xml:space="preserve">supersedes social distancing. All managers have been provided </w:t>
            </w:r>
            <w:r>
              <w:t>with PPE (mask and gloves) and should be happy to assist.</w:t>
            </w:r>
          </w:p>
          <w:p w14:paraId="6F2B211C" w14:textId="77777777" w:rsidR="00B54E6B" w:rsidRDefault="00B54E6B" w:rsidP="009C5E67"/>
          <w:p w14:paraId="3BAE51F5" w14:textId="1944DD2A" w:rsidR="00B54E6B" w:rsidRDefault="00B9128C">
            <w:r>
              <w:t>For minor injuries, parents can take responsibility if in attendance, otherwise a designated parent or coach is responsible</w:t>
            </w:r>
          </w:p>
          <w:p w14:paraId="52E631DD" w14:textId="256E9145" w:rsidR="006940CC" w:rsidRDefault="006940CC"/>
        </w:tc>
        <w:tc>
          <w:tcPr>
            <w:tcW w:w="4252" w:type="dxa"/>
            <w:shd w:val="clear" w:color="auto" w:fill="auto"/>
          </w:tcPr>
          <w:p w14:paraId="24FA0410" w14:textId="0F9157C8" w:rsidR="00B2264B" w:rsidRDefault="00423192">
            <w:r>
              <w:t xml:space="preserve">Parents should be encouraged to </w:t>
            </w:r>
            <w:proofErr w:type="gramStart"/>
            <w:r>
              <w:t>stay,</w:t>
            </w:r>
            <w:proofErr w:type="gramEnd"/>
            <w:r>
              <w:t xml:space="preserve"> however this is not obligatory, and is at the managers discretion.   If parents are not staying</w:t>
            </w:r>
            <w:r w:rsidR="00B9128C">
              <w:t xml:space="preserve"> during training</w:t>
            </w:r>
            <w:r>
              <w:t xml:space="preserve">, they are required to nominate another parent </w:t>
            </w:r>
            <w:r w:rsidR="00B9128C">
              <w:t xml:space="preserve">or coach </w:t>
            </w:r>
            <w:r>
              <w:t>to be responsible</w:t>
            </w:r>
            <w:r w:rsidR="009D5BF8">
              <w:t xml:space="preserve"> and must communicate this to the manager in advance</w:t>
            </w:r>
            <w:r w:rsidR="00170475">
              <w:t>.</w:t>
            </w:r>
          </w:p>
          <w:p w14:paraId="08788175" w14:textId="55E1519F" w:rsidR="00B9128C" w:rsidRDefault="00B9128C">
            <w:r>
              <w:t>This is purely the coach</w:t>
            </w:r>
            <w:r w:rsidR="009F6808">
              <w:t>’</w:t>
            </w:r>
            <w:r>
              <w:t xml:space="preserve">s </w:t>
            </w:r>
            <w:proofErr w:type="gramStart"/>
            <w:r>
              <w:t>decision, and</w:t>
            </w:r>
            <w:proofErr w:type="gramEnd"/>
            <w:r>
              <w:t xml:space="preserve"> </w:t>
            </w:r>
            <w:r w:rsidR="00501F05">
              <w:t>may depend on your team</w:t>
            </w:r>
            <w:r w:rsidR="009F6808">
              <w:t>’</w:t>
            </w:r>
            <w:r w:rsidR="00501F05">
              <w:t>s manager.</w:t>
            </w:r>
          </w:p>
        </w:tc>
      </w:tr>
    </w:tbl>
    <w:p w14:paraId="452DBA0B" w14:textId="0647070D" w:rsidR="00092EE0" w:rsidRDefault="00092EE0"/>
    <w:p w14:paraId="0875677D" w14:textId="11989393" w:rsidR="00092EE0" w:rsidRDefault="00092EE0" w:rsidP="00092EE0">
      <w:pPr>
        <w:pStyle w:val="NoSpacing"/>
      </w:pPr>
    </w:p>
    <w:p w14:paraId="256234B0" w14:textId="77777777" w:rsidR="006940CC" w:rsidRDefault="006940CC" w:rsidP="00092EE0">
      <w:pPr>
        <w:pStyle w:val="NoSpacing"/>
      </w:pPr>
    </w:p>
    <w:tbl>
      <w:tblPr>
        <w:tblStyle w:val="TableGrid"/>
        <w:tblW w:w="0" w:type="auto"/>
        <w:tblLook w:val="04A0" w:firstRow="1" w:lastRow="0" w:firstColumn="1" w:lastColumn="0" w:noHBand="0" w:noVBand="1"/>
      </w:tblPr>
      <w:tblGrid>
        <w:gridCol w:w="2122"/>
        <w:gridCol w:w="1701"/>
        <w:gridCol w:w="1134"/>
        <w:gridCol w:w="5386"/>
        <w:gridCol w:w="4820"/>
      </w:tblGrid>
      <w:tr w:rsidR="006940CC" w14:paraId="2CC2AF65" w14:textId="77777777" w:rsidTr="006940CC">
        <w:tc>
          <w:tcPr>
            <w:tcW w:w="2122" w:type="dxa"/>
          </w:tcPr>
          <w:p w14:paraId="39AF27D4" w14:textId="77777777" w:rsidR="006940CC" w:rsidRDefault="006940CC" w:rsidP="00FB2F32">
            <w:r>
              <w:t>Public Walkways/paths and public right of way</w:t>
            </w:r>
          </w:p>
        </w:tc>
        <w:tc>
          <w:tcPr>
            <w:tcW w:w="1701" w:type="dxa"/>
          </w:tcPr>
          <w:p w14:paraId="0F97BF11" w14:textId="77777777" w:rsidR="006940CC" w:rsidRDefault="006940CC" w:rsidP="00FB2F32">
            <w:r>
              <w:t>Coaches, players and general public</w:t>
            </w:r>
          </w:p>
        </w:tc>
        <w:tc>
          <w:tcPr>
            <w:tcW w:w="1134" w:type="dxa"/>
          </w:tcPr>
          <w:p w14:paraId="4B89BADA" w14:textId="77777777" w:rsidR="006940CC" w:rsidRDefault="006940CC" w:rsidP="00FB2F32">
            <w:r>
              <w:t>Low</w:t>
            </w:r>
          </w:p>
        </w:tc>
        <w:tc>
          <w:tcPr>
            <w:tcW w:w="5386" w:type="dxa"/>
          </w:tcPr>
          <w:p w14:paraId="7DD22890" w14:textId="77777777" w:rsidR="006940CC" w:rsidRDefault="006940CC" w:rsidP="00FB2F32">
            <w:r>
              <w:t>All p</w:t>
            </w:r>
            <w:r w:rsidRPr="00FE0B4C">
              <w:t xml:space="preserve">arents should be aware of government guidelines around social distancing, and ensure these are respected in busy areas.  </w:t>
            </w:r>
          </w:p>
          <w:p w14:paraId="026B27AF" w14:textId="77777777" w:rsidR="006940CC" w:rsidRDefault="006940CC" w:rsidP="00FB2F32"/>
          <w:p w14:paraId="6DCD1617" w14:textId="400522EB" w:rsidR="006940CC" w:rsidRDefault="006940CC" w:rsidP="00FB2F32">
            <w:r w:rsidRPr="00FE0B4C">
              <w:t>The grounds are public areas, so it is important to respect other</w:t>
            </w:r>
            <w:r w:rsidR="00B9128C">
              <w:t xml:space="preserve"> users</w:t>
            </w:r>
            <w:r w:rsidRPr="00FE0B4C">
              <w:t xml:space="preserve">. Coaches </w:t>
            </w:r>
            <w:r>
              <w:t>must</w:t>
            </w:r>
            <w:r w:rsidRPr="00FE0B4C">
              <w:t xml:space="preserve"> consider this when setting training areas up and ensure no walk ways are blocked.</w:t>
            </w:r>
          </w:p>
          <w:p w14:paraId="63DE125B" w14:textId="438C05F3" w:rsidR="006940CC" w:rsidRDefault="006940CC" w:rsidP="00FB2F32"/>
        </w:tc>
        <w:tc>
          <w:tcPr>
            <w:tcW w:w="4820" w:type="dxa"/>
          </w:tcPr>
          <w:p w14:paraId="59730639" w14:textId="77777777" w:rsidR="006940CC" w:rsidRDefault="006940CC" w:rsidP="00FB2F32"/>
        </w:tc>
      </w:tr>
      <w:tr w:rsidR="00BD4474" w14:paraId="52D5098A" w14:textId="77777777" w:rsidTr="00BD4474">
        <w:tc>
          <w:tcPr>
            <w:tcW w:w="2122" w:type="dxa"/>
          </w:tcPr>
          <w:p w14:paraId="6763D89F" w14:textId="6015FD0A" w:rsidR="00BD4474" w:rsidRDefault="00BD4474">
            <w:r>
              <w:t>Training</w:t>
            </w:r>
          </w:p>
        </w:tc>
        <w:tc>
          <w:tcPr>
            <w:tcW w:w="1701" w:type="dxa"/>
          </w:tcPr>
          <w:p w14:paraId="08EFD2D6" w14:textId="77777777" w:rsidR="00092EE0" w:rsidRDefault="00092EE0" w:rsidP="00092EE0">
            <w:r>
              <w:t>Coaches,</w:t>
            </w:r>
          </w:p>
          <w:p w14:paraId="7C7A38C7" w14:textId="73780553" w:rsidR="00BD4474" w:rsidRDefault="00092EE0" w:rsidP="00092EE0">
            <w:r>
              <w:t>Players</w:t>
            </w:r>
          </w:p>
        </w:tc>
        <w:tc>
          <w:tcPr>
            <w:tcW w:w="1134" w:type="dxa"/>
          </w:tcPr>
          <w:p w14:paraId="77E13582" w14:textId="265F4316" w:rsidR="00BD4474" w:rsidRDefault="00092EE0">
            <w:r>
              <w:t>Low</w:t>
            </w:r>
          </w:p>
        </w:tc>
        <w:tc>
          <w:tcPr>
            <w:tcW w:w="5386" w:type="dxa"/>
          </w:tcPr>
          <w:p w14:paraId="2F9D66BB" w14:textId="5185D152" w:rsidR="00092EE0" w:rsidRDefault="00092EE0" w:rsidP="00092EE0">
            <w:r>
              <w:t xml:space="preserve">Training should take place on </w:t>
            </w:r>
            <w:r w:rsidR="004A51F9">
              <w:t xml:space="preserve">the named </w:t>
            </w:r>
            <w:r>
              <w:t>field</w:t>
            </w:r>
            <w:r w:rsidR="004A51F9">
              <w:t>(</w:t>
            </w:r>
            <w:r>
              <w:t>s</w:t>
            </w:r>
            <w:r w:rsidR="004A51F9">
              <w:t>)</w:t>
            </w:r>
            <w:r>
              <w:t xml:space="preserve"> and if more than one is training, coaches should ensure adequate distance between the two.  </w:t>
            </w:r>
          </w:p>
          <w:p w14:paraId="033FC57F" w14:textId="77777777" w:rsidR="00B2264B" w:rsidRDefault="00B2264B" w:rsidP="00092EE0"/>
          <w:p w14:paraId="4CE9ED08" w14:textId="62305E62" w:rsidR="00BE683F" w:rsidRDefault="00092EE0" w:rsidP="00092EE0">
            <w:r>
              <w:t xml:space="preserve">Players should </w:t>
            </w:r>
            <w:r w:rsidR="00122081">
              <w:t xml:space="preserve">avoid </w:t>
            </w:r>
            <w:r>
              <w:t>touch</w:t>
            </w:r>
            <w:r w:rsidR="00122081">
              <w:t>ing</w:t>
            </w:r>
            <w:r>
              <w:t xml:space="preserve"> the balls with their hands</w:t>
            </w:r>
            <w:r w:rsidR="00122081">
              <w:t xml:space="preserve"> where possible, </w:t>
            </w:r>
            <w:r w:rsidR="0028566C">
              <w:t>however if they do, they</w:t>
            </w:r>
            <w:r>
              <w:t xml:space="preserve"> should use hand sanitiser</w:t>
            </w:r>
            <w:r w:rsidR="008B208B">
              <w:t xml:space="preserve"> at the next available opportunity.</w:t>
            </w:r>
            <w:r>
              <w:t xml:space="preserve"> </w:t>
            </w:r>
          </w:p>
          <w:p w14:paraId="7122B15F" w14:textId="77777777" w:rsidR="00BE683F" w:rsidRDefault="00BE683F" w:rsidP="00092EE0"/>
          <w:p w14:paraId="6566A815" w14:textId="77777777" w:rsidR="00BD4474" w:rsidRDefault="00092EE0" w:rsidP="00092EE0">
            <w:r>
              <w:t>Players should not arrive more than 10 minutes before training and leave no later than 10 minutes after.</w:t>
            </w:r>
          </w:p>
          <w:p w14:paraId="15CEA8F3" w14:textId="6FD54FE3" w:rsidR="006940CC" w:rsidRDefault="006940CC" w:rsidP="00092EE0"/>
        </w:tc>
        <w:tc>
          <w:tcPr>
            <w:tcW w:w="4820" w:type="dxa"/>
          </w:tcPr>
          <w:p w14:paraId="3B1E2B4A" w14:textId="3DEC0B59" w:rsidR="00BD4474" w:rsidRDefault="00092EE0">
            <w:r>
              <w:t>Consider younger teams (where children will frequently forget and touch footballs with their hands) to bring their own footballs to train with.</w:t>
            </w:r>
            <w:r w:rsidR="00A86192">
              <w:t xml:space="preserve">  Alternatively, more frequent </w:t>
            </w:r>
            <w:r w:rsidR="00305A2A">
              <w:t>disinfecting with spray.</w:t>
            </w:r>
          </w:p>
          <w:p w14:paraId="4362BAFA" w14:textId="77777777" w:rsidR="00B70F60" w:rsidRDefault="00B70F60"/>
          <w:p w14:paraId="34343B55" w14:textId="048E29B8" w:rsidR="00B70F60" w:rsidRDefault="00B70F60">
            <w:r>
              <w:t>The club also may consider the use of gloves, at the moment these are at a parent</w:t>
            </w:r>
            <w:r w:rsidR="00170475">
              <w:t>’</w:t>
            </w:r>
            <w:r>
              <w:t>s discretion.</w:t>
            </w:r>
          </w:p>
        </w:tc>
      </w:tr>
      <w:tr w:rsidR="00BD4474" w14:paraId="28D0ED78" w14:textId="77777777" w:rsidTr="00741D8B">
        <w:tc>
          <w:tcPr>
            <w:tcW w:w="2122" w:type="dxa"/>
          </w:tcPr>
          <w:p w14:paraId="179B1DFB" w14:textId="77777777" w:rsidR="00BD4474" w:rsidRDefault="00BD4474" w:rsidP="00FB2F32">
            <w:r>
              <w:t>Training plans</w:t>
            </w:r>
          </w:p>
        </w:tc>
        <w:tc>
          <w:tcPr>
            <w:tcW w:w="1701" w:type="dxa"/>
          </w:tcPr>
          <w:p w14:paraId="34D9EEF1" w14:textId="77777777" w:rsidR="00BD4474" w:rsidRDefault="00BD4474" w:rsidP="00FB2F32">
            <w:r>
              <w:t>Coaches</w:t>
            </w:r>
          </w:p>
        </w:tc>
        <w:tc>
          <w:tcPr>
            <w:tcW w:w="1134" w:type="dxa"/>
          </w:tcPr>
          <w:p w14:paraId="27B05557" w14:textId="77777777" w:rsidR="00BD4474" w:rsidRDefault="00BD4474" w:rsidP="00FB2F32">
            <w:r>
              <w:t>Low</w:t>
            </w:r>
          </w:p>
        </w:tc>
        <w:tc>
          <w:tcPr>
            <w:tcW w:w="5386" w:type="dxa"/>
            <w:shd w:val="clear" w:color="auto" w:fill="auto"/>
          </w:tcPr>
          <w:p w14:paraId="0A208E90" w14:textId="378FF8C0" w:rsidR="00BD4474" w:rsidRDefault="00C94A55" w:rsidP="00FB2F32">
            <w:r>
              <w:t>Competitive training can now take place with up to 30 people at any one time.</w:t>
            </w:r>
          </w:p>
          <w:p w14:paraId="0D9D6C8A" w14:textId="078EADC9" w:rsidR="00C94A55" w:rsidRDefault="00C94A55" w:rsidP="00FB2F32"/>
          <w:p w14:paraId="07AD9BD7" w14:textId="4E3C7BEC" w:rsidR="00B419A5" w:rsidRDefault="00B419A5" w:rsidP="00FB2F32">
            <w:r>
              <w:t xml:space="preserve">Social distancing should be </w:t>
            </w:r>
            <w:r w:rsidR="006323C4">
              <w:t xml:space="preserve">observed </w:t>
            </w:r>
            <w:r w:rsidR="0028566C">
              <w:t xml:space="preserve">before and after, and </w:t>
            </w:r>
            <w:r w:rsidR="006323C4">
              <w:t>in</w:t>
            </w:r>
            <w:r w:rsidR="006B76E7">
              <w:t xml:space="preserve"> any breaks in play.</w:t>
            </w:r>
          </w:p>
          <w:p w14:paraId="32C6B084" w14:textId="3ACA9E1D" w:rsidR="00D93B1E" w:rsidRDefault="00D93B1E" w:rsidP="00FB2F32"/>
        </w:tc>
        <w:tc>
          <w:tcPr>
            <w:tcW w:w="4820" w:type="dxa"/>
          </w:tcPr>
          <w:p w14:paraId="0B6E7D7D" w14:textId="6B32C472" w:rsidR="00BD4474" w:rsidRDefault="00602CC7" w:rsidP="00FB2F32">
            <w:r>
              <w:t xml:space="preserve">Covid-19 specific </w:t>
            </w:r>
            <w:r w:rsidR="003A6F59">
              <w:t>training plans are widely available online</w:t>
            </w:r>
          </w:p>
        </w:tc>
      </w:tr>
      <w:tr w:rsidR="00D93B1E" w14:paraId="34CF67DE" w14:textId="77777777" w:rsidTr="00741D8B">
        <w:tc>
          <w:tcPr>
            <w:tcW w:w="2122" w:type="dxa"/>
          </w:tcPr>
          <w:p w14:paraId="3D4C8137" w14:textId="0151C998" w:rsidR="00D93B1E" w:rsidRDefault="00D93B1E">
            <w:r>
              <w:t>Coronavirus symptoms</w:t>
            </w:r>
          </w:p>
        </w:tc>
        <w:tc>
          <w:tcPr>
            <w:tcW w:w="1701" w:type="dxa"/>
          </w:tcPr>
          <w:p w14:paraId="3B05FCEA" w14:textId="6F461A8A" w:rsidR="00D93B1E" w:rsidRDefault="00D93B1E">
            <w:r>
              <w:t>Players, Coaches</w:t>
            </w:r>
          </w:p>
        </w:tc>
        <w:tc>
          <w:tcPr>
            <w:tcW w:w="1134" w:type="dxa"/>
          </w:tcPr>
          <w:p w14:paraId="6FC45FFE" w14:textId="6AE5E65B" w:rsidR="00D93B1E" w:rsidRDefault="00D93B1E">
            <w:r>
              <w:t>Low</w:t>
            </w:r>
          </w:p>
        </w:tc>
        <w:tc>
          <w:tcPr>
            <w:tcW w:w="5386" w:type="dxa"/>
          </w:tcPr>
          <w:p w14:paraId="782A8313" w14:textId="2946B6FE" w:rsidR="00D93B1E" w:rsidRDefault="00D93B1E" w:rsidP="00D93B1E">
            <w:r>
              <w:t>Should any player or coach develop any form of symptoms prior to training, under no circumstances should they attend training</w:t>
            </w:r>
            <w:r w:rsidR="006B76E7">
              <w:t xml:space="preserve"> and they should</w:t>
            </w:r>
            <w:r w:rsidR="00C520A2">
              <w:t xml:space="preserve"> follow</w:t>
            </w:r>
            <w:r w:rsidR="006B76E7">
              <w:t xml:space="preserve"> the NHS Test and Trace</w:t>
            </w:r>
            <w:r w:rsidR="00C520A2">
              <w:t xml:space="preserve"> protocols</w:t>
            </w:r>
          </w:p>
          <w:p w14:paraId="11F36638" w14:textId="77777777" w:rsidR="00D93B1E" w:rsidRDefault="00D93B1E" w:rsidP="00D93B1E"/>
          <w:p w14:paraId="5BA37BF2" w14:textId="1E38F475" w:rsidR="00AA0EF5" w:rsidRDefault="00D93B1E" w:rsidP="00D93B1E">
            <w:r>
              <w:t>In the event of anyone developing symptoms during training, that individual should immediately be isolated and taken home by the parent responsible.</w:t>
            </w:r>
          </w:p>
        </w:tc>
        <w:tc>
          <w:tcPr>
            <w:tcW w:w="4820" w:type="dxa"/>
          </w:tcPr>
          <w:p w14:paraId="2030EBAA" w14:textId="77777777" w:rsidR="00D93B1E" w:rsidRDefault="00D93B1E" w:rsidP="00D93B1E">
            <w:r>
              <w:t xml:space="preserve">Please refer to standard government information on symptoms: </w:t>
            </w:r>
          </w:p>
          <w:p w14:paraId="0FCDA1AB" w14:textId="77777777" w:rsidR="00D93B1E" w:rsidRDefault="00D93B1E" w:rsidP="00D93B1E"/>
          <w:p w14:paraId="5EBFC67B" w14:textId="77777777" w:rsidR="00D93B1E" w:rsidRPr="00E43C72" w:rsidRDefault="00FB2782" w:rsidP="00D93B1E">
            <w:pPr>
              <w:spacing w:after="200" w:line="276" w:lineRule="auto"/>
            </w:pPr>
            <w:hyperlink r:id="rId12" w:history="1">
              <w:r w:rsidR="00D93B1E" w:rsidRPr="00E43C72">
                <w:rPr>
                  <w:color w:val="0000FF"/>
                  <w:u w:val="single"/>
                </w:rPr>
                <w:t>https://www.nhs.uk/conditions/coronavirus-covid-19/symptoms/</w:t>
              </w:r>
            </w:hyperlink>
          </w:p>
          <w:p w14:paraId="29D6E9AD" w14:textId="77777777" w:rsidR="00D93B1E" w:rsidRDefault="00D93B1E"/>
        </w:tc>
      </w:tr>
      <w:tr w:rsidR="00D93B1E" w14:paraId="08E1448F" w14:textId="77777777" w:rsidTr="00741D8B">
        <w:tc>
          <w:tcPr>
            <w:tcW w:w="2122" w:type="dxa"/>
          </w:tcPr>
          <w:p w14:paraId="13D07735" w14:textId="3852C081" w:rsidR="00D93B1E" w:rsidRDefault="00D93B1E">
            <w:r>
              <w:lastRenderedPageBreak/>
              <w:t>Equipment</w:t>
            </w:r>
          </w:p>
        </w:tc>
        <w:tc>
          <w:tcPr>
            <w:tcW w:w="1701" w:type="dxa"/>
          </w:tcPr>
          <w:p w14:paraId="3F79F1A3" w14:textId="21A4C085" w:rsidR="00D93B1E" w:rsidRDefault="00D93B1E">
            <w:r>
              <w:t>Coaches, players</w:t>
            </w:r>
          </w:p>
        </w:tc>
        <w:tc>
          <w:tcPr>
            <w:tcW w:w="1134" w:type="dxa"/>
          </w:tcPr>
          <w:p w14:paraId="4437DBB2" w14:textId="4DE3FC55" w:rsidR="00D93B1E" w:rsidRDefault="00D93B1E">
            <w:r>
              <w:t>Low</w:t>
            </w:r>
          </w:p>
        </w:tc>
        <w:tc>
          <w:tcPr>
            <w:tcW w:w="5386" w:type="dxa"/>
          </w:tcPr>
          <w:p w14:paraId="4CA88E93" w14:textId="2F0F47EE" w:rsidR="00D93B1E" w:rsidRDefault="00423192" w:rsidP="00D93B1E">
            <w:r>
              <w:t>Managers</w:t>
            </w:r>
            <w:r w:rsidR="009F6808">
              <w:t>’</w:t>
            </w:r>
            <w:r>
              <w:t xml:space="preserve"> own </w:t>
            </w:r>
            <w:r w:rsidR="00C520A2">
              <w:t xml:space="preserve">equipment can be </w:t>
            </w:r>
            <w:proofErr w:type="gramStart"/>
            <w:r w:rsidR="00C520A2">
              <w:t>used, but</w:t>
            </w:r>
            <w:proofErr w:type="gramEnd"/>
            <w:r w:rsidR="00C520A2">
              <w:t xml:space="preserve"> should be disinfected before and after </w:t>
            </w:r>
            <w:r w:rsidR="00232891">
              <w:t xml:space="preserve">use.  </w:t>
            </w:r>
            <w:r w:rsidR="00A50287">
              <w:t>Use of goals can be used</w:t>
            </w:r>
            <w:r w:rsidR="009E6E22">
              <w:t>, however cleaning should take place before and after any session.</w:t>
            </w:r>
          </w:p>
          <w:p w14:paraId="03E285E6" w14:textId="77777777" w:rsidR="009E6E22" w:rsidRDefault="009E6E22" w:rsidP="00D93B1E"/>
          <w:p w14:paraId="28A9E3E2" w14:textId="5F16B88B" w:rsidR="00B244A6" w:rsidRDefault="00B244A6" w:rsidP="00D93B1E">
            <w:r>
              <w:t xml:space="preserve">Bibs should be washed between uses. </w:t>
            </w:r>
          </w:p>
          <w:p w14:paraId="797278D0" w14:textId="77777777" w:rsidR="00D93B1E" w:rsidRDefault="00D93B1E" w:rsidP="00D93B1E"/>
          <w:p w14:paraId="2DF42191" w14:textId="77777777" w:rsidR="00D93B1E" w:rsidRDefault="00D93B1E"/>
        </w:tc>
        <w:tc>
          <w:tcPr>
            <w:tcW w:w="4820" w:type="dxa"/>
          </w:tcPr>
          <w:p w14:paraId="5CA5A13C" w14:textId="77777777" w:rsidR="00D93B1E" w:rsidRDefault="00AA0EF5">
            <w:r>
              <w:t>Ensure all cones and other equipment used are disinfected using disinfectant provided by the club.</w:t>
            </w:r>
          </w:p>
          <w:p w14:paraId="545FA8F7" w14:textId="77777777" w:rsidR="000B0F44" w:rsidRDefault="000B0F44"/>
          <w:p w14:paraId="09B892B8" w14:textId="05B2A4E9" w:rsidR="000B0F44" w:rsidRDefault="000B0F44">
            <w:r>
              <w:t xml:space="preserve">Managers have </w:t>
            </w:r>
            <w:r w:rsidR="0001284C">
              <w:t>been provided with PPE (gloves and mask) should the</w:t>
            </w:r>
            <w:r w:rsidR="00170475">
              <w:t>re</w:t>
            </w:r>
            <w:r w:rsidR="0001284C">
              <w:t xml:space="preserve"> be a requirement to interact with a child at closer than 2 metres.</w:t>
            </w:r>
          </w:p>
        </w:tc>
      </w:tr>
      <w:tr w:rsidR="005337F4" w14:paraId="77BB1119" w14:textId="77777777" w:rsidTr="00741D8B">
        <w:tc>
          <w:tcPr>
            <w:tcW w:w="2122" w:type="dxa"/>
          </w:tcPr>
          <w:p w14:paraId="091F0695" w14:textId="12A7A1D8" w:rsidR="005337F4" w:rsidRDefault="0004763A">
            <w:r>
              <w:t>Training g</w:t>
            </w:r>
            <w:r w:rsidR="00A07C0D">
              <w:t>uidance</w:t>
            </w:r>
          </w:p>
        </w:tc>
        <w:tc>
          <w:tcPr>
            <w:tcW w:w="1701" w:type="dxa"/>
          </w:tcPr>
          <w:p w14:paraId="064C2726" w14:textId="4E12D622" w:rsidR="005337F4" w:rsidRDefault="00A07C0D">
            <w:r>
              <w:t xml:space="preserve">Coaches, players </w:t>
            </w:r>
          </w:p>
        </w:tc>
        <w:tc>
          <w:tcPr>
            <w:tcW w:w="1134" w:type="dxa"/>
          </w:tcPr>
          <w:p w14:paraId="328685F1" w14:textId="7CBE4C83" w:rsidR="005337F4" w:rsidRDefault="0004763A">
            <w:r>
              <w:t>Low</w:t>
            </w:r>
          </w:p>
        </w:tc>
        <w:tc>
          <w:tcPr>
            <w:tcW w:w="5386" w:type="dxa"/>
          </w:tcPr>
          <w:p w14:paraId="709B258A" w14:textId="316D2E26" w:rsidR="005337F4" w:rsidRDefault="00ED14DA" w:rsidP="00D93B1E">
            <w:r>
              <w:t xml:space="preserve">Further guidance </w:t>
            </w:r>
            <w:r w:rsidR="00891566">
              <w:t xml:space="preserve">to support the information above, can be found here: </w:t>
            </w:r>
            <w:hyperlink r:id="rId13" w:history="1">
              <w:r w:rsidR="009E6E22">
                <w:rPr>
                  <w:rStyle w:val="Hyperlink"/>
                </w:rPr>
                <w:t>http://www.thefa.com/news/2020/jul/17/grassroots-guidance-for-competitive-football-restart-in-england-170720</w:t>
              </w:r>
            </w:hyperlink>
          </w:p>
          <w:p w14:paraId="055F172A" w14:textId="77777777" w:rsidR="00891566" w:rsidRDefault="00891566" w:rsidP="00D93B1E"/>
          <w:p w14:paraId="6DCD3DAC" w14:textId="32751A92" w:rsidR="00DE5CBB" w:rsidRDefault="00DE5CBB"/>
        </w:tc>
        <w:tc>
          <w:tcPr>
            <w:tcW w:w="4820" w:type="dxa"/>
          </w:tcPr>
          <w:p w14:paraId="75C3E87E" w14:textId="77777777" w:rsidR="005337F4" w:rsidRDefault="005337F4"/>
        </w:tc>
      </w:tr>
      <w:tr w:rsidR="00361E15" w14:paraId="7DB5E79A" w14:textId="77777777" w:rsidTr="00501F05">
        <w:tc>
          <w:tcPr>
            <w:tcW w:w="2122" w:type="dxa"/>
          </w:tcPr>
          <w:p w14:paraId="6796A2ED" w14:textId="557BDA6C" w:rsidR="00361E15" w:rsidRDefault="00361E15">
            <w:r>
              <w:t>Match days</w:t>
            </w:r>
          </w:p>
        </w:tc>
        <w:tc>
          <w:tcPr>
            <w:tcW w:w="1701" w:type="dxa"/>
          </w:tcPr>
          <w:p w14:paraId="18F541AE" w14:textId="42B911F3" w:rsidR="00361E15" w:rsidRDefault="00A6384E">
            <w:r>
              <w:t>Coaches, players, parents</w:t>
            </w:r>
          </w:p>
        </w:tc>
        <w:tc>
          <w:tcPr>
            <w:tcW w:w="1134" w:type="dxa"/>
          </w:tcPr>
          <w:p w14:paraId="13E5730D" w14:textId="1FF22B3A" w:rsidR="00361E15" w:rsidRDefault="00A6384E">
            <w:r>
              <w:t>Medium</w:t>
            </w:r>
          </w:p>
        </w:tc>
        <w:tc>
          <w:tcPr>
            <w:tcW w:w="5386" w:type="dxa"/>
          </w:tcPr>
          <w:p w14:paraId="7C2D639E" w14:textId="77777777" w:rsidR="00361E15" w:rsidRDefault="00A6384E" w:rsidP="00D93B1E">
            <w:r>
              <w:t>Respect barriers should be as far as feasibly possible to avoid congestion around the pitch</w:t>
            </w:r>
            <w:r w:rsidR="000728C2">
              <w:t xml:space="preserve"> (around 5 metres)</w:t>
            </w:r>
            <w:r w:rsidR="00BC3F24">
              <w:t>.</w:t>
            </w:r>
          </w:p>
          <w:p w14:paraId="1BF40D67" w14:textId="7F28C274" w:rsidR="004B75BC" w:rsidRDefault="00BC3F24" w:rsidP="00D93B1E">
            <w:r>
              <w:t>When the ball goes out of play, parents should be encouraged to play the ball back with their feet and not hands</w:t>
            </w:r>
            <w:r w:rsidR="009F6808">
              <w:t>,</w:t>
            </w:r>
            <w:r>
              <w:t xml:space="preserve"> where possible. </w:t>
            </w:r>
          </w:p>
          <w:p w14:paraId="52C7385F" w14:textId="5405D77D" w:rsidR="004B75BC" w:rsidRDefault="004B75BC" w:rsidP="00D93B1E">
            <w:r>
              <w:t>Parents should be encouraged to social distance on the touchline</w:t>
            </w:r>
            <w:r w:rsidR="009F6808">
              <w:t>,</w:t>
            </w:r>
            <w:r>
              <w:t xml:space="preserve"> where possible.</w:t>
            </w:r>
          </w:p>
          <w:p w14:paraId="647B6E18" w14:textId="45B81C86" w:rsidR="00D83563" w:rsidRDefault="00D83563" w:rsidP="00D93B1E">
            <w:r>
              <w:t xml:space="preserve">The clubhouse will remain locked </w:t>
            </w:r>
            <w:r w:rsidR="00995215">
              <w:t xml:space="preserve">and therefore </w:t>
            </w:r>
            <w:r w:rsidR="009F6808">
              <w:t>there</w:t>
            </w:r>
            <w:r w:rsidR="00995215">
              <w:t xml:space="preserve"> will</w:t>
            </w:r>
            <w:r w:rsidR="009F6808">
              <w:t xml:space="preserve"> be no</w:t>
            </w:r>
            <w:r w:rsidR="00995215">
              <w:t xml:space="preserve"> toilet facilities</w:t>
            </w:r>
            <w:r w:rsidR="009F6808">
              <w:t xml:space="preserve"> available</w:t>
            </w:r>
            <w:r w:rsidR="00995215">
              <w:t>.</w:t>
            </w:r>
          </w:p>
        </w:tc>
        <w:tc>
          <w:tcPr>
            <w:tcW w:w="4820" w:type="dxa"/>
          </w:tcPr>
          <w:p w14:paraId="6E3B8DA5" w14:textId="77777777" w:rsidR="00361E15" w:rsidRDefault="00361E15"/>
        </w:tc>
      </w:tr>
      <w:tr w:rsidR="001B1BC7" w14:paraId="70100078" w14:textId="77777777" w:rsidTr="00501F05">
        <w:tc>
          <w:tcPr>
            <w:tcW w:w="2122" w:type="dxa"/>
          </w:tcPr>
          <w:p w14:paraId="47078C8E" w14:textId="2617388D" w:rsidR="001B1BC7" w:rsidRDefault="001B1BC7">
            <w:r>
              <w:t>Match day equipment</w:t>
            </w:r>
          </w:p>
        </w:tc>
        <w:tc>
          <w:tcPr>
            <w:tcW w:w="1701" w:type="dxa"/>
          </w:tcPr>
          <w:p w14:paraId="07A81149" w14:textId="262BDC9C" w:rsidR="001B1BC7" w:rsidRDefault="001B1BC7">
            <w:r>
              <w:t>Coaches and players</w:t>
            </w:r>
          </w:p>
        </w:tc>
        <w:tc>
          <w:tcPr>
            <w:tcW w:w="1134" w:type="dxa"/>
          </w:tcPr>
          <w:p w14:paraId="55ABCDFF" w14:textId="38D7D951" w:rsidR="001B1BC7" w:rsidRDefault="001B1BC7">
            <w:r>
              <w:t>Low</w:t>
            </w:r>
          </w:p>
        </w:tc>
        <w:tc>
          <w:tcPr>
            <w:tcW w:w="5386" w:type="dxa"/>
          </w:tcPr>
          <w:p w14:paraId="6B3273D4" w14:textId="682D171B" w:rsidR="00D83563" w:rsidRDefault="001B1BC7" w:rsidP="00D93B1E">
            <w:r>
              <w:t xml:space="preserve">All goals should be disinfected prior to </w:t>
            </w:r>
            <w:r w:rsidR="009022E3">
              <w:t>and after t</w:t>
            </w:r>
            <w:r>
              <w:t>he game</w:t>
            </w:r>
            <w:r w:rsidR="009F6808">
              <w:t>, as should Respect barriers and corner flags</w:t>
            </w:r>
            <w:r>
              <w:t xml:space="preserve">.  </w:t>
            </w:r>
          </w:p>
          <w:p w14:paraId="3B0A9D7B" w14:textId="432B2589" w:rsidR="001B1BC7" w:rsidRDefault="009F6808" w:rsidP="00D93B1E">
            <w:r>
              <w:t>Match b</w:t>
            </w:r>
            <w:r w:rsidR="00D83563">
              <w:t>all</w:t>
            </w:r>
            <w:r>
              <w:t>s</w:t>
            </w:r>
            <w:r w:rsidR="00D83563">
              <w:t xml:space="preserve"> should be disinfected at intervals</w:t>
            </w:r>
            <w:r>
              <w:t>,</w:t>
            </w:r>
            <w:r w:rsidR="00D83563">
              <w:t xml:space="preserve"> where possible.</w:t>
            </w:r>
          </w:p>
        </w:tc>
        <w:tc>
          <w:tcPr>
            <w:tcW w:w="4820" w:type="dxa"/>
          </w:tcPr>
          <w:p w14:paraId="21485C77" w14:textId="77777777" w:rsidR="001B1BC7" w:rsidRDefault="001B1BC7"/>
        </w:tc>
      </w:tr>
      <w:tr w:rsidR="00604BF4" w14:paraId="2C6F3B26" w14:textId="77777777" w:rsidTr="00501F05">
        <w:tc>
          <w:tcPr>
            <w:tcW w:w="2122" w:type="dxa"/>
          </w:tcPr>
          <w:p w14:paraId="6A594676" w14:textId="126A2239" w:rsidR="00604BF4" w:rsidRDefault="00604BF4">
            <w:r>
              <w:t xml:space="preserve">Match day player etiquette </w:t>
            </w:r>
          </w:p>
        </w:tc>
        <w:tc>
          <w:tcPr>
            <w:tcW w:w="1701" w:type="dxa"/>
          </w:tcPr>
          <w:p w14:paraId="7DF10444" w14:textId="7E98A780" w:rsidR="00604BF4" w:rsidRDefault="00604BF4">
            <w:r>
              <w:t>Players</w:t>
            </w:r>
            <w:r w:rsidR="00045DF9">
              <w:t xml:space="preserve"> and coaches</w:t>
            </w:r>
          </w:p>
        </w:tc>
        <w:tc>
          <w:tcPr>
            <w:tcW w:w="1134" w:type="dxa"/>
          </w:tcPr>
          <w:p w14:paraId="223D9805" w14:textId="683C9782" w:rsidR="00604BF4" w:rsidRDefault="00045DF9">
            <w:r>
              <w:t>Low</w:t>
            </w:r>
          </w:p>
        </w:tc>
        <w:tc>
          <w:tcPr>
            <w:tcW w:w="5386" w:type="dxa"/>
          </w:tcPr>
          <w:p w14:paraId="2FFDC046" w14:textId="215393A2" w:rsidR="00604BF4" w:rsidRDefault="00045DF9" w:rsidP="00D93B1E">
            <w:r>
              <w:t xml:space="preserve">Social distance as much as possible in between </w:t>
            </w:r>
            <w:r w:rsidR="00E22DC2">
              <w:t>playing time, and at half time.  Please avoid hand shak</w:t>
            </w:r>
            <w:r w:rsidR="00D83563">
              <w:t xml:space="preserve">es after matches.  </w:t>
            </w:r>
          </w:p>
        </w:tc>
        <w:tc>
          <w:tcPr>
            <w:tcW w:w="4820" w:type="dxa"/>
          </w:tcPr>
          <w:p w14:paraId="34C609B5" w14:textId="77777777" w:rsidR="00604BF4" w:rsidRDefault="00604BF4"/>
        </w:tc>
      </w:tr>
    </w:tbl>
    <w:p w14:paraId="62F7C221" w14:textId="55DF5A95" w:rsidR="0048282A" w:rsidRDefault="0048282A"/>
    <w:p w14:paraId="561D93E7" w14:textId="6E50AE10" w:rsidR="00170475" w:rsidRDefault="00170475">
      <w:r>
        <w:t>FA Summary guidance:</w:t>
      </w:r>
    </w:p>
    <w:p w14:paraId="3C97ACC8" w14:textId="27AC2386" w:rsidR="00C00D99" w:rsidRDefault="00170475">
      <w:r w:rsidRPr="00170475">
        <w:t>http://www.thefa.com/-/media/thefacom-new/files/get-involved/2020/summary-of-covid-19-guidance-on-re-starting-competitive-grassroots-football.ashx</w:t>
      </w:r>
    </w:p>
    <w:p w14:paraId="1F640BA8" w14:textId="6CC42A4D" w:rsidR="00237952" w:rsidRDefault="00237952">
      <w:pPr>
        <w:sectPr w:rsidR="00237952" w:rsidSect="00EA0C0B">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pPr>
    </w:p>
    <w:p w14:paraId="06A39C55" w14:textId="77777777" w:rsidR="00D16696" w:rsidRDefault="00D16696"/>
    <w:p w14:paraId="39DDC014" w14:textId="77777777" w:rsidR="00D16696" w:rsidRPr="00D16696" w:rsidRDefault="00D16696" w:rsidP="00D16696">
      <w:pPr>
        <w:spacing w:after="0" w:line="240" w:lineRule="auto"/>
        <w:rPr>
          <w:rFonts w:ascii="Arial" w:eastAsia="Times New Roman" w:hAnsi="Arial" w:cs="Arial"/>
        </w:rPr>
      </w:pPr>
      <w:r w:rsidRPr="00D16696">
        <w:rPr>
          <w:rFonts w:ascii="Arial" w:eastAsia="Times New Roman" w:hAnsi="Arial" w:cs="Arial"/>
          <w:b/>
          <w:color w:val="FF0000"/>
          <w:szCs w:val="24"/>
        </w:rPr>
        <w:t>What is the level of risk?</w:t>
      </w:r>
      <w:r w:rsidRPr="00D16696">
        <w:rPr>
          <w:rFonts w:ascii="Arial" w:eastAsia="Times New Roman" w:hAnsi="Arial" w:cs="Arial"/>
          <w:szCs w:val="24"/>
        </w:rPr>
        <w:t xml:space="preserve"> </w:t>
      </w:r>
      <w:r w:rsidRPr="00D16696">
        <w:rPr>
          <w:rFonts w:ascii="Arial" w:eastAsia="Times New Roman" w:hAnsi="Arial" w:cs="Arial"/>
        </w:rPr>
        <w:t xml:space="preserve">For each hazard, choose determine the Harm and Likelihood. </w:t>
      </w:r>
      <w:r w:rsidRPr="00D16696">
        <w:rPr>
          <w:rFonts w:ascii="Arial" w:eastAsia="Times New Roman" w:hAnsi="Arial" w:cs="Arial"/>
          <w:szCs w:val="24"/>
        </w:rPr>
        <w:t xml:space="preserve">Look for ‘the most likely reasonably foreseeable injury’ </w:t>
      </w:r>
      <w:r w:rsidRPr="00D16696">
        <w:rPr>
          <w:rFonts w:ascii="Arial" w:eastAsia="Times New Roman" w:hAnsi="Arial" w:cs="Arial"/>
          <w:b/>
          <w:szCs w:val="24"/>
        </w:rPr>
        <w:t>not</w:t>
      </w:r>
      <w:r w:rsidRPr="00D16696">
        <w:rPr>
          <w:rFonts w:ascii="Arial" w:eastAsia="Times New Roman" w:hAnsi="Arial" w:cs="Arial"/>
          <w:szCs w:val="24"/>
        </w:rPr>
        <w:t xml:space="preserve"> just the worst case.</w:t>
      </w:r>
    </w:p>
    <w:p w14:paraId="0B1E8D6C" w14:textId="77777777" w:rsidR="00D16696" w:rsidRPr="00D16696" w:rsidRDefault="00D16696" w:rsidP="00D16696">
      <w:pPr>
        <w:spacing w:after="0" w:line="240" w:lineRule="auto"/>
        <w:rPr>
          <w:rFonts w:ascii="Arial" w:eastAsia="Times New Roman" w:hAnsi="Arial" w:cs="Arial"/>
          <w:szCs w:val="24"/>
        </w:rPr>
      </w:pP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0"/>
        <w:gridCol w:w="38"/>
        <w:gridCol w:w="8007"/>
      </w:tblGrid>
      <w:tr w:rsidR="00D16696" w:rsidRPr="00D16696" w14:paraId="3A92A36D" w14:textId="77777777" w:rsidTr="00814876">
        <w:trPr>
          <w:jc w:val="center"/>
        </w:trPr>
        <w:tc>
          <w:tcPr>
            <w:tcW w:w="9675" w:type="dxa"/>
            <w:gridSpan w:val="3"/>
            <w:shd w:val="clear" w:color="auto" w:fill="auto"/>
          </w:tcPr>
          <w:p w14:paraId="2E241DA9" w14:textId="77777777" w:rsidR="00D16696" w:rsidRPr="00D16696" w:rsidRDefault="00D16696" w:rsidP="00D16696">
            <w:pPr>
              <w:spacing w:before="60" w:after="60" w:line="240" w:lineRule="auto"/>
              <w:rPr>
                <w:rFonts w:ascii="Arial" w:eastAsia="Times New Roman" w:hAnsi="Arial" w:cs="Arial"/>
                <w:b/>
                <w:szCs w:val="24"/>
              </w:rPr>
            </w:pPr>
            <w:r w:rsidRPr="00D16696">
              <w:rPr>
                <w:rFonts w:ascii="Arial" w:eastAsia="Times New Roman" w:hAnsi="Arial" w:cs="Arial"/>
                <w:b/>
                <w:szCs w:val="24"/>
              </w:rPr>
              <w:t xml:space="preserve">H - </w:t>
            </w:r>
            <w:r w:rsidRPr="00D16696">
              <w:rPr>
                <w:rFonts w:ascii="Arial" w:eastAsia="Times New Roman" w:hAnsi="Arial" w:cs="Arial"/>
                <w:szCs w:val="24"/>
              </w:rPr>
              <w:t>Harm</w:t>
            </w:r>
            <w:r w:rsidRPr="00D16696">
              <w:rPr>
                <w:rFonts w:ascii="Arial" w:eastAsia="Times New Roman" w:hAnsi="Arial" w:cs="Arial"/>
                <w:b/>
                <w:szCs w:val="24"/>
              </w:rPr>
              <w:t xml:space="preserve"> - </w:t>
            </w:r>
            <w:r w:rsidRPr="00D16696">
              <w:rPr>
                <w:rFonts w:ascii="Arial" w:eastAsia="Times New Roman" w:hAnsi="Arial" w:cs="Arial"/>
                <w:b/>
                <w:i/>
                <w:szCs w:val="24"/>
              </w:rPr>
              <w:t>Decide How Someone Might be Harmed</w:t>
            </w:r>
          </w:p>
        </w:tc>
      </w:tr>
      <w:tr w:rsidR="00D16696" w:rsidRPr="00D16696" w14:paraId="610B07E0" w14:textId="77777777" w:rsidTr="00814876">
        <w:trPr>
          <w:jc w:val="center"/>
        </w:trPr>
        <w:tc>
          <w:tcPr>
            <w:tcW w:w="1630" w:type="dxa"/>
            <w:shd w:val="clear" w:color="auto" w:fill="auto"/>
          </w:tcPr>
          <w:p w14:paraId="26946DEE"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Major</w:t>
            </w:r>
          </w:p>
        </w:tc>
        <w:tc>
          <w:tcPr>
            <w:tcW w:w="8045" w:type="dxa"/>
            <w:gridSpan w:val="2"/>
            <w:shd w:val="clear" w:color="auto" w:fill="auto"/>
          </w:tcPr>
          <w:p w14:paraId="274A1B6E"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lang w:val="en-US"/>
              </w:rPr>
              <w:t>Fatality.</w:t>
            </w:r>
          </w:p>
        </w:tc>
      </w:tr>
      <w:tr w:rsidR="00D16696" w:rsidRPr="00D16696" w14:paraId="680B2D69" w14:textId="77777777" w:rsidTr="00814876">
        <w:trPr>
          <w:jc w:val="center"/>
        </w:trPr>
        <w:tc>
          <w:tcPr>
            <w:tcW w:w="1630" w:type="dxa"/>
            <w:shd w:val="clear" w:color="auto" w:fill="auto"/>
          </w:tcPr>
          <w:p w14:paraId="7F3A1010"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High</w:t>
            </w:r>
          </w:p>
        </w:tc>
        <w:tc>
          <w:tcPr>
            <w:tcW w:w="8045" w:type="dxa"/>
            <w:gridSpan w:val="2"/>
            <w:shd w:val="clear" w:color="auto" w:fill="auto"/>
          </w:tcPr>
          <w:p w14:paraId="71872108"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Amputations; multiple serious injuries; major fractures; major burns.</w:t>
            </w:r>
          </w:p>
        </w:tc>
      </w:tr>
      <w:tr w:rsidR="00D16696" w:rsidRPr="00D16696" w14:paraId="0A9A2EBE" w14:textId="77777777" w:rsidTr="00814876">
        <w:trPr>
          <w:jc w:val="center"/>
        </w:trPr>
        <w:tc>
          <w:tcPr>
            <w:tcW w:w="1630" w:type="dxa"/>
            <w:shd w:val="clear" w:color="auto" w:fill="auto"/>
          </w:tcPr>
          <w:p w14:paraId="0FD9F894"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Moderate</w:t>
            </w:r>
          </w:p>
        </w:tc>
        <w:tc>
          <w:tcPr>
            <w:tcW w:w="8045" w:type="dxa"/>
            <w:gridSpan w:val="2"/>
            <w:shd w:val="clear" w:color="auto" w:fill="auto"/>
          </w:tcPr>
          <w:p w14:paraId="3821FAAA"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Lacerations; burns; concussion; serious sprains; minor fractures.</w:t>
            </w:r>
          </w:p>
        </w:tc>
      </w:tr>
      <w:tr w:rsidR="00D16696" w:rsidRPr="00D16696" w14:paraId="3408B854" w14:textId="77777777" w:rsidTr="00814876">
        <w:trPr>
          <w:jc w:val="center"/>
        </w:trPr>
        <w:tc>
          <w:tcPr>
            <w:tcW w:w="1630" w:type="dxa"/>
            <w:shd w:val="clear" w:color="auto" w:fill="auto"/>
          </w:tcPr>
          <w:p w14:paraId="57FFE07A"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Slight</w:t>
            </w:r>
          </w:p>
        </w:tc>
        <w:tc>
          <w:tcPr>
            <w:tcW w:w="8045" w:type="dxa"/>
            <w:gridSpan w:val="2"/>
            <w:shd w:val="clear" w:color="auto" w:fill="auto"/>
          </w:tcPr>
          <w:p w14:paraId="0E537DAB"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Superficial injuries; minor cuts and bruises; eye irritation from dust.</w:t>
            </w:r>
          </w:p>
        </w:tc>
      </w:tr>
      <w:tr w:rsidR="00D16696" w:rsidRPr="00D16696" w14:paraId="4967023C" w14:textId="77777777" w:rsidTr="00814876">
        <w:trPr>
          <w:jc w:val="center"/>
        </w:trPr>
        <w:tc>
          <w:tcPr>
            <w:tcW w:w="9675" w:type="dxa"/>
            <w:gridSpan w:val="3"/>
            <w:shd w:val="clear" w:color="auto" w:fill="auto"/>
          </w:tcPr>
          <w:p w14:paraId="4D9432A0" w14:textId="77777777" w:rsidR="00D16696" w:rsidRPr="00D16696" w:rsidRDefault="00D16696" w:rsidP="00D16696">
            <w:pPr>
              <w:spacing w:before="60" w:after="60" w:line="240" w:lineRule="auto"/>
              <w:rPr>
                <w:rFonts w:ascii="Arial" w:eastAsia="Times New Roman" w:hAnsi="Arial" w:cs="Arial"/>
                <w:b/>
                <w:szCs w:val="24"/>
              </w:rPr>
            </w:pPr>
            <w:r w:rsidRPr="00D16696">
              <w:rPr>
                <w:rFonts w:ascii="Arial" w:eastAsia="Times New Roman" w:hAnsi="Arial" w:cs="Arial"/>
                <w:b/>
                <w:szCs w:val="24"/>
              </w:rPr>
              <w:t xml:space="preserve">L - </w:t>
            </w:r>
            <w:r w:rsidRPr="00D16696">
              <w:rPr>
                <w:rFonts w:ascii="Arial" w:eastAsia="Times New Roman" w:hAnsi="Arial" w:cs="Arial"/>
                <w:szCs w:val="24"/>
              </w:rPr>
              <w:t>Likelihood</w:t>
            </w:r>
            <w:r w:rsidRPr="00D16696">
              <w:rPr>
                <w:rFonts w:ascii="Arial" w:eastAsia="Times New Roman" w:hAnsi="Arial" w:cs="Arial"/>
                <w:b/>
                <w:szCs w:val="24"/>
              </w:rPr>
              <w:t xml:space="preserve"> - </w:t>
            </w:r>
            <w:r w:rsidRPr="00D16696">
              <w:rPr>
                <w:rFonts w:ascii="Arial" w:eastAsia="Times New Roman" w:hAnsi="Arial" w:cs="Arial"/>
                <w:b/>
                <w:i/>
                <w:szCs w:val="24"/>
              </w:rPr>
              <w:t>How Likely is it to Happen?</w:t>
            </w:r>
          </w:p>
        </w:tc>
      </w:tr>
      <w:tr w:rsidR="00D16696" w:rsidRPr="00D16696" w14:paraId="5E2C04FB" w14:textId="77777777" w:rsidTr="00814876">
        <w:trPr>
          <w:jc w:val="center"/>
        </w:trPr>
        <w:tc>
          <w:tcPr>
            <w:tcW w:w="1668" w:type="dxa"/>
            <w:gridSpan w:val="2"/>
            <w:shd w:val="clear" w:color="auto" w:fill="auto"/>
          </w:tcPr>
          <w:p w14:paraId="0FCD9709"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Very Unlikely</w:t>
            </w:r>
          </w:p>
        </w:tc>
        <w:tc>
          <w:tcPr>
            <w:tcW w:w="8007" w:type="dxa"/>
            <w:shd w:val="clear" w:color="auto" w:fill="auto"/>
          </w:tcPr>
          <w:p w14:paraId="5D27E293"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The hazard is very rarely experienced and exposure will seldom result in injury.</w:t>
            </w:r>
          </w:p>
        </w:tc>
      </w:tr>
      <w:tr w:rsidR="00D16696" w:rsidRPr="00D16696" w14:paraId="322C4E2C" w14:textId="77777777" w:rsidTr="00814876">
        <w:trPr>
          <w:jc w:val="center"/>
        </w:trPr>
        <w:tc>
          <w:tcPr>
            <w:tcW w:w="1668" w:type="dxa"/>
            <w:gridSpan w:val="2"/>
            <w:shd w:val="clear" w:color="auto" w:fill="auto"/>
          </w:tcPr>
          <w:p w14:paraId="59C7FA62"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Unlikely</w:t>
            </w:r>
          </w:p>
        </w:tc>
        <w:tc>
          <w:tcPr>
            <w:tcW w:w="8007" w:type="dxa"/>
            <w:shd w:val="clear" w:color="auto" w:fill="auto"/>
          </w:tcPr>
          <w:p w14:paraId="67DD5C56"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The hazard is rarely experienced and exposure will seldom result in injury.</w:t>
            </w:r>
          </w:p>
        </w:tc>
      </w:tr>
      <w:tr w:rsidR="00D16696" w:rsidRPr="00D16696" w14:paraId="0A008562" w14:textId="77777777" w:rsidTr="00814876">
        <w:trPr>
          <w:jc w:val="center"/>
        </w:trPr>
        <w:tc>
          <w:tcPr>
            <w:tcW w:w="1668" w:type="dxa"/>
            <w:gridSpan w:val="2"/>
            <w:shd w:val="clear" w:color="auto" w:fill="auto"/>
          </w:tcPr>
          <w:p w14:paraId="68BFBC48"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Likely</w:t>
            </w:r>
          </w:p>
        </w:tc>
        <w:tc>
          <w:tcPr>
            <w:tcW w:w="8007" w:type="dxa"/>
            <w:shd w:val="clear" w:color="auto" w:fill="auto"/>
          </w:tcPr>
          <w:p w14:paraId="1EA70F3E"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The hazard is persistent but exposure may not always result in injury.</w:t>
            </w:r>
          </w:p>
        </w:tc>
      </w:tr>
      <w:tr w:rsidR="00D16696" w:rsidRPr="00D16696" w14:paraId="048CA7C2" w14:textId="77777777" w:rsidTr="00814876">
        <w:trPr>
          <w:jc w:val="center"/>
        </w:trPr>
        <w:tc>
          <w:tcPr>
            <w:tcW w:w="1668" w:type="dxa"/>
            <w:gridSpan w:val="2"/>
            <w:shd w:val="clear" w:color="auto" w:fill="auto"/>
          </w:tcPr>
          <w:p w14:paraId="5109BB7F"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Very Likely</w:t>
            </w:r>
          </w:p>
        </w:tc>
        <w:tc>
          <w:tcPr>
            <w:tcW w:w="8007" w:type="dxa"/>
            <w:shd w:val="clear" w:color="auto" w:fill="auto"/>
          </w:tcPr>
          <w:p w14:paraId="7D6AC821" w14:textId="77777777" w:rsidR="00D16696" w:rsidRPr="00D16696" w:rsidRDefault="00D16696" w:rsidP="00D16696">
            <w:pPr>
              <w:spacing w:before="60" w:after="60" w:line="240" w:lineRule="auto"/>
              <w:rPr>
                <w:rFonts w:ascii="Arial" w:eastAsia="Times New Roman" w:hAnsi="Arial" w:cs="Arial"/>
                <w:szCs w:val="24"/>
              </w:rPr>
            </w:pPr>
            <w:r w:rsidRPr="00D16696">
              <w:rPr>
                <w:rFonts w:ascii="Arial" w:eastAsia="Times New Roman" w:hAnsi="Arial" w:cs="Arial"/>
                <w:szCs w:val="24"/>
              </w:rPr>
              <w:t>The hazard is persistent and exposure will undoubtedly result in injury.</w:t>
            </w:r>
          </w:p>
        </w:tc>
      </w:tr>
    </w:tbl>
    <w:p w14:paraId="230C6411" w14:textId="77777777" w:rsidR="00D16696" w:rsidRPr="00D16696" w:rsidRDefault="00D16696" w:rsidP="00D16696">
      <w:pPr>
        <w:spacing w:after="0" w:line="240" w:lineRule="auto"/>
        <w:rPr>
          <w:rFonts w:ascii="Arial" w:eastAsia="Times New Roman" w:hAnsi="Arial" w:cs="Arial"/>
          <w:szCs w:val="24"/>
        </w:rPr>
      </w:pPr>
    </w:p>
    <w:p w14:paraId="2D67A88F" w14:textId="77777777" w:rsidR="00D16696" w:rsidRPr="00D16696" w:rsidRDefault="00D16696" w:rsidP="00D16696">
      <w:pPr>
        <w:spacing w:after="0" w:line="240" w:lineRule="auto"/>
        <w:rPr>
          <w:rFonts w:ascii="Arial" w:eastAsia="Times New Roman" w:hAnsi="Arial" w:cs="Arial"/>
          <w:szCs w:val="24"/>
        </w:rPr>
      </w:pPr>
      <w:r w:rsidRPr="00D16696">
        <w:rPr>
          <w:rFonts w:ascii="Arial" w:eastAsia="Times New Roman" w:hAnsi="Arial" w:cs="Arial"/>
          <w:szCs w:val="24"/>
        </w:rPr>
        <w:t xml:space="preserve">Now use the matrix below to assess the Risk from the Harm and Likelihood for each hazard </w:t>
      </w:r>
    </w:p>
    <w:p w14:paraId="7CBA3B41" w14:textId="77777777" w:rsidR="00D16696" w:rsidRPr="00D16696" w:rsidRDefault="00D16696" w:rsidP="00D16696">
      <w:pPr>
        <w:spacing w:after="0" w:line="240" w:lineRule="auto"/>
        <w:rPr>
          <w:rFonts w:ascii="Arial" w:eastAsia="Times New Roman" w:hAnsi="Arial" w:cs="Arial"/>
          <w:szCs w:val="24"/>
        </w:rPr>
      </w:pPr>
      <w:r w:rsidRPr="00D16696">
        <w:rPr>
          <w:rFonts w:ascii="Arial" w:eastAsia="Times New Roman" w:hAnsi="Arial" w:cs="Arial"/>
          <w:szCs w:val="24"/>
        </w:rPr>
        <w:t xml:space="preserve">(e.g. if Harm was ‘Moderate’ and Likelihood ‘Unlikely’ the Risk would be ‘Medium’). </w:t>
      </w:r>
    </w:p>
    <w:p w14:paraId="688722F1" w14:textId="77777777" w:rsidR="00D16696" w:rsidRPr="00D16696" w:rsidRDefault="00D16696" w:rsidP="00D16696">
      <w:pPr>
        <w:spacing w:after="0" w:line="240" w:lineRule="auto"/>
        <w:rPr>
          <w:rFonts w:ascii="Arial" w:eastAsia="Times New Roman" w:hAnsi="Arial" w:cs="Arial"/>
          <w:szCs w:val="24"/>
        </w:rPr>
      </w:pPr>
    </w:p>
    <w:p w14:paraId="435DFE6F" w14:textId="77777777" w:rsidR="00D16696" w:rsidRPr="00D16696" w:rsidRDefault="00D16696" w:rsidP="00D16696">
      <w:pPr>
        <w:spacing w:after="0" w:line="240" w:lineRule="auto"/>
        <w:rPr>
          <w:rFonts w:ascii="Arial" w:eastAsia="Times New Roman" w:hAnsi="Arial" w:cs="Arial"/>
          <w:szCs w:val="24"/>
        </w:rPr>
      </w:pPr>
      <w:r w:rsidRPr="00D16696">
        <w:rPr>
          <w:rFonts w:ascii="Arial" w:eastAsia="Times New Roman" w:hAnsi="Arial" w:cs="Arial"/>
          <w:b/>
        </w:rPr>
        <w:t>R</w:t>
      </w:r>
      <w:r w:rsidRPr="00D16696">
        <w:rPr>
          <w:rFonts w:ascii="Arial" w:eastAsia="Times New Roman" w:hAnsi="Arial" w:cs="Arial"/>
        </w:rPr>
        <w:t>isk table – t</w:t>
      </w:r>
      <w:r w:rsidRPr="00D16696">
        <w:rPr>
          <w:rFonts w:ascii="Arial" w:eastAsia="Times New Roman" w:hAnsi="Arial" w:cs="Arial"/>
          <w:szCs w:val="24"/>
        </w:rPr>
        <w:t>o calculate the risk of each hazard use the table below:</w:t>
      </w:r>
    </w:p>
    <w:p w14:paraId="07F6C2FE" w14:textId="77777777" w:rsidR="00D16696" w:rsidRPr="00D16696" w:rsidRDefault="00D16696" w:rsidP="00D16696">
      <w:pPr>
        <w:spacing w:after="0" w:line="240" w:lineRule="auto"/>
        <w:rPr>
          <w:rFonts w:ascii="Arial" w:eastAsia="Times New Roman"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146"/>
        <w:gridCol w:w="1695"/>
        <w:gridCol w:w="1559"/>
        <w:gridCol w:w="1560"/>
        <w:gridCol w:w="1701"/>
      </w:tblGrid>
      <w:tr w:rsidR="00D16696" w:rsidRPr="00D16696" w14:paraId="2FC85EE1" w14:textId="77777777" w:rsidTr="00814876">
        <w:trPr>
          <w:jc w:val="center"/>
        </w:trPr>
        <w:tc>
          <w:tcPr>
            <w:tcW w:w="723" w:type="dxa"/>
            <w:vMerge w:val="restart"/>
            <w:textDirection w:val="btLr"/>
          </w:tcPr>
          <w:p w14:paraId="20A33582" w14:textId="77777777" w:rsidR="00D16696" w:rsidRPr="00D16696" w:rsidRDefault="00D16696" w:rsidP="00D16696">
            <w:pPr>
              <w:spacing w:before="60" w:after="60" w:line="240" w:lineRule="auto"/>
              <w:ind w:left="113" w:right="113"/>
              <w:jc w:val="both"/>
              <w:rPr>
                <w:rFonts w:ascii="Arial" w:eastAsia="Times New Roman" w:hAnsi="Arial" w:cs="Arial"/>
                <w:b/>
                <w:szCs w:val="24"/>
              </w:rPr>
            </w:pPr>
            <w:r w:rsidRPr="00D16696">
              <w:rPr>
                <w:rFonts w:ascii="Arial" w:eastAsia="Times New Roman" w:hAnsi="Arial" w:cs="Arial"/>
                <w:b/>
                <w:szCs w:val="24"/>
              </w:rPr>
              <w:t>Harm</w:t>
            </w:r>
          </w:p>
        </w:tc>
        <w:tc>
          <w:tcPr>
            <w:tcW w:w="1146" w:type="dxa"/>
          </w:tcPr>
          <w:p w14:paraId="30488EA6" w14:textId="77777777" w:rsidR="00D16696" w:rsidRPr="00D16696" w:rsidRDefault="00D16696" w:rsidP="00D16696">
            <w:pPr>
              <w:spacing w:before="60" w:after="60" w:line="240" w:lineRule="auto"/>
              <w:jc w:val="both"/>
              <w:rPr>
                <w:rFonts w:ascii="Arial" w:eastAsia="Times New Roman" w:hAnsi="Arial" w:cs="Arial"/>
                <w:szCs w:val="24"/>
              </w:rPr>
            </w:pPr>
            <w:r w:rsidRPr="00D16696">
              <w:rPr>
                <w:rFonts w:ascii="Arial" w:eastAsia="Times New Roman" w:hAnsi="Arial" w:cs="Arial"/>
                <w:szCs w:val="24"/>
              </w:rPr>
              <w:t>Major</w:t>
            </w:r>
          </w:p>
        </w:tc>
        <w:tc>
          <w:tcPr>
            <w:tcW w:w="1695" w:type="dxa"/>
            <w:shd w:val="clear" w:color="auto" w:fill="993300"/>
          </w:tcPr>
          <w:p w14:paraId="6A9548A6"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High</w:t>
            </w:r>
          </w:p>
        </w:tc>
        <w:tc>
          <w:tcPr>
            <w:tcW w:w="1559" w:type="dxa"/>
            <w:shd w:val="clear" w:color="auto" w:fill="993300"/>
          </w:tcPr>
          <w:p w14:paraId="7C10FA0B"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High</w:t>
            </w:r>
          </w:p>
        </w:tc>
        <w:tc>
          <w:tcPr>
            <w:tcW w:w="1560" w:type="dxa"/>
            <w:shd w:val="clear" w:color="auto" w:fill="FF0000"/>
          </w:tcPr>
          <w:p w14:paraId="32556DDC"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V High</w:t>
            </w:r>
          </w:p>
        </w:tc>
        <w:tc>
          <w:tcPr>
            <w:tcW w:w="1701" w:type="dxa"/>
            <w:shd w:val="clear" w:color="auto" w:fill="FF0000"/>
          </w:tcPr>
          <w:p w14:paraId="12646020"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V High</w:t>
            </w:r>
          </w:p>
        </w:tc>
      </w:tr>
      <w:tr w:rsidR="00D16696" w:rsidRPr="00D16696" w14:paraId="73D649F8" w14:textId="77777777" w:rsidTr="00814876">
        <w:trPr>
          <w:jc w:val="center"/>
        </w:trPr>
        <w:tc>
          <w:tcPr>
            <w:tcW w:w="723" w:type="dxa"/>
            <w:vMerge/>
          </w:tcPr>
          <w:p w14:paraId="34EC9A82" w14:textId="77777777" w:rsidR="00D16696" w:rsidRPr="00D16696" w:rsidRDefault="00D16696" w:rsidP="00D16696">
            <w:pPr>
              <w:spacing w:before="60" w:after="60" w:line="240" w:lineRule="auto"/>
              <w:jc w:val="both"/>
              <w:rPr>
                <w:rFonts w:ascii="Arial" w:eastAsia="Times New Roman" w:hAnsi="Arial" w:cs="Arial"/>
                <w:szCs w:val="24"/>
              </w:rPr>
            </w:pPr>
          </w:p>
        </w:tc>
        <w:tc>
          <w:tcPr>
            <w:tcW w:w="1146" w:type="dxa"/>
          </w:tcPr>
          <w:p w14:paraId="73F02C9D" w14:textId="77777777" w:rsidR="00D16696" w:rsidRPr="00D16696" w:rsidRDefault="00D16696" w:rsidP="00D16696">
            <w:pPr>
              <w:spacing w:before="60" w:after="60" w:line="240" w:lineRule="auto"/>
              <w:jc w:val="both"/>
              <w:rPr>
                <w:rFonts w:ascii="Arial" w:eastAsia="Times New Roman" w:hAnsi="Arial" w:cs="Arial"/>
                <w:szCs w:val="24"/>
              </w:rPr>
            </w:pPr>
            <w:r w:rsidRPr="00D16696">
              <w:rPr>
                <w:rFonts w:ascii="Arial" w:eastAsia="Times New Roman" w:hAnsi="Arial" w:cs="Arial"/>
                <w:szCs w:val="24"/>
              </w:rPr>
              <w:t>High</w:t>
            </w:r>
          </w:p>
        </w:tc>
        <w:tc>
          <w:tcPr>
            <w:tcW w:w="1695" w:type="dxa"/>
            <w:shd w:val="clear" w:color="auto" w:fill="FF6600"/>
          </w:tcPr>
          <w:p w14:paraId="5FEC767F"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Med</w:t>
            </w:r>
          </w:p>
        </w:tc>
        <w:tc>
          <w:tcPr>
            <w:tcW w:w="1559" w:type="dxa"/>
            <w:shd w:val="clear" w:color="auto" w:fill="FF6600"/>
          </w:tcPr>
          <w:p w14:paraId="0D8AE2E5"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Med</w:t>
            </w:r>
          </w:p>
        </w:tc>
        <w:tc>
          <w:tcPr>
            <w:tcW w:w="1560" w:type="dxa"/>
            <w:tcBorders>
              <w:bottom w:val="single" w:sz="4" w:space="0" w:color="auto"/>
            </w:tcBorders>
            <w:shd w:val="clear" w:color="auto" w:fill="993300"/>
          </w:tcPr>
          <w:p w14:paraId="242F2F3A"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High</w:t>
            </w:r>
          </w:p>
        </w:tc>
        <w:tc>
          <w:tcPr>
            <w:tcW w:w="1701" w:type="dxa"/>
            <w:tcBorders>
              <w:bottom w:val="single" w:sz="4" w:space="0" w:color="auto"/>
            </w:tcBorders>
            <w:shd w:val="clear" w:color="auto" w:fill="FF0000"/>
          </w:tcPr>
          <w:p w14:paraId="41339B36"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V High</w:t>
            </w:r>
          </w:p>
        </w:tc>
      </w:tr>
      <w:tr w:rsidR="00D16696" w:rsidRPr="00D16696" w14:paraId="7BB57582" w14:textId="77777777" w:rsidTr="00814876">
        <w:trPr>
          <w:jc w:val="center"/>
        </w:trPr>
        <w:tc>
          <w:tcPr>
            <w:tcW w:w="723" w:type="dxa"/>
            <w:vMerge/>
          </w:tcPr>
          <w:p w14:paraId="7EE0A9BF" w14:textId="77777777" w:rsidR="00D16696" w:rsidRPr="00D16696" w:rsidRDefault="00D16696" w:rsidP="00D16696">
            <w:pPr>
              <w:spacing w:before="60" w:after="60" w:line="240" w:lineRule="auto"/>
              <w:jc w:val="both"/>
              <w:rPr>
                <w:rFonts w:ascii="Arial" w:eastAsia="Times New Roman" w:hAnsi="Arial" w:cs="Arial"/>
                <w:szCs w:val="24"/>
              </w:rPr>
            </w:pPr>
          </w:p>
        </w:tc>
        <w:tc>
          <w:tcPr>
            <w:tcW w:w="1146" w:type="dxa"/>
          </w:tcPr>
          <w:p w14:paraId="0BDD11EE" w14:textId="77777777" w:rsidR="00D16696" w:rsidRPr="00D16696" w:rsidRDefault="00D16696" w:rsidP="00D16696">
            <w:pPr>
              <w:spacing w:before="60" w:after="60" w:line="240" w:lineRule="auto"/>
              <w:jc w:val="both"/>
              <w:rPr>
                <w:rFonts w:ascii="Arial" w:eastAsia="Times New Roman" w:hAnsi="Arial" w:cs="Arial"/>
                <w:szCs w:val="24"/>
              </w:rPr>
            </w:pPr>
            <w:r w:rsidRPr="00D16696">
              <w:rPr>
                <w:rFonts w:ascii="Arial" w:eastAsia="Times New Roman" w:hAnsi="Arial" w:cs="Arial"/>
                <w:szCs w:val="24"/>
              </w:rPr>
              <w:t>Moderate</w:t>
            </w:r>
          </w:p>
        </w:tc>
        <w:tc>
          <w:tcPr>
            <w:tcW w:w="1695" w:type="dxa"/>
            <w:shd w:val="clear" w:color="auto" w:fill="99CC00"/>
          </w:tcPr>
          <w:p w14:paraId="3B058F95"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Low</w:t>
            </w:r>
          </w:p>
        </w:tc>
        <w:tc>
          <w:tcPr>
            <w:tcW w:w="1559" w:type="dxa"/>
            <w:tcBorders>
              <w:bottom w:val="single" w:sz="4" w:space="0" w:color="auto"/>
            </w:tcBorders>
            <w:shd w:val="clear" w:color="auto" w:fill="FF6600"/>
          </w:tcPr>
          <w:p w14:paraId="5F6222D7"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Med</w:t>
            </w:r>
          </w:p>
        </w:tc>
        <w:tc>
          <w:tcPr>
            <w:tcW w:w="1560" w:type="dxa"/>
            <w:shd w:val="clear" w:color="auto" w:fill="FF6600"/>
          </w:tcPr>
          <w:p w14:paraId="52DF7888"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Med</w:t>
            </w:r>
          </w:p>
        </w:tc>
        <w:tc>
          <w:tcPr>
            <w:tcW w:w="1701" w:type="dxa"/>
            <w:shd w:val="clear" w:color="auto" w:fill="FF6600"/>
          </w:tcPr>
          <w:p w14:paraId="621FDEDB"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Med</w:t>
            </w:r>
          </w:p>
        </w:tc>
      </w:tr>
      <w:tr w:rsidR="00D16696" w:rsidRPr="00D16696" w14:paraId="33A274BB" w14:textId="77777777" w:rsidTr="00814876">
        <w:trPr>
          <w:jc w:val="center"/>
        </w:trPr>
        <w:tc>
          <w:tcPr>
            <w:tcW w:w="723" w:type="dxa"/>
            <w:vMerge/>
            <w:tcBorders>
              <w:bottom w:val="single" w:sz="4" w:space="0" w:color="auto"/>
            </w:tcBorders>
          </w:tcPr>
          <w:p w14:paraId="7B6A0963" w14:textId="77777777" w:rsidR="00D16696" w:rsidRPr="00D16696" w:rsidRDefault="00D16696" w:rsidP="00D16696">
            <w:pPr>
              <w:spacing w:before="60" w:after="60" w:line="240" w:lineRule="auto"/>
              <w:jc w:val="both"/>
              <w:rPr>
                <w:rFonts w:ascii="Arial" w:eastAsia="Times New Roman" w:hAnsi="Arial" w:cs="Arial"/>
                <w:szCs w:val="24"/>
              </w:rPr>
            </w:pPr>
          </w:p>
        </w:tc>
        <w:tc>
          <w:tcPr>
            <w:tcW w:w="1146" w:type="dxa"/>
            <w:tcBorders>
              <w:bottom w:val="single" w:sz="4" w:space="0" w:color="auto"/>
            </w:tcBorders>
          </w:tcPr>
          <w:p w14:paraId="2DF72343" w14:textId="77777777" w:rsidR="00D16696" w:rsidRPr="00D16696" w:rsidRDefault="00D16696" w:rsidP="00D16696">
            <w:pPr>
              <w:spacing w:before="60" w:after="60" w:line="240" w:lineRule="auto"/>
              <w:jc w:val="both"/>
              <w:rPr>
                <w:rFonts w:ascii="Arial" w:eastAsia="Times New Roman" w:hAnsi="Arial" w:cs="Arial"/>
                <w:szCs w:val="24"/>
              </w:rPr>
            </w:pPr>
            <w:r w:rsidRPr="00D16696">
              <w:rPr>
                <w:rFonts w:ascii="Arial" w:eastAsia="Times New Roman" w:hAnsi="Arial" w:cs="Arial"/>
                <w:szCs w:val="24"/>
              </w:rPr>
              <w:t>Slight</w:t>
            </w:r>
          </w:p>
        </w:tc>
        <w:tc>
          <w:tcPr>
            <w:tcW w:w="1695" w:type="dxa"/>
            <w:shd w:val="clear" w:color="auto" w:fill="99CC00"/>
          </w:tcPr>
          <w:p w14:paraId="7D108466"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Low</w:t>
            </w:r>
          </w:p>
        </w:tc>
        <w:tc>
          <w:tcPr>
            <w:tcW w:w="1559" w:type="dxa"/>
            <w:shd w:val="clear" w:color="auto" w:fill="99CC00"/>
          </w:tcPr>
          <w:p w14:paraId="7DB42CB2"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Low</w:t>
            </w:r>
          </w:p>
        </w:tc>
        <w:tc>
          <w:tcPr>
            <w:tcW w:w="1560" w:type="dxa"/>
            <w:shd w:val="clear" w:color="auto" w:fill="99CC00"/>
          </w:tcPr>
          <w:p w14:paraId="04239B62"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Low</w:t>
            </w:r>
          </w:p>
        </w:tc>
        <w:tc>
          <w:tcPr>
            <w:tcW w:w="1701" w:type="dxa"/>
            <w:shd w:val="clear" w:color="auto" w:fill="99CC00"/>
          </w:tcPr>
          <w:p w14:paraId="650CB5AC" w14:textId="77777777" w:rsidR="00D16696" w:rsidRPr="00D16696" w:rsidRDefault="00D16696" w:rsidP="00D16696">
            <w:pPr>
              <w:spacing w:before="60" w:after="60" w:line="240" w:lineRule="auto"/>
              <w:jc w:val="center"/>
              <w:rPr>
                <w:rFonts w:ascii="Arial" w:eastAsia="Times New Roman" w:hAnsi="Arial" w:cs="Arial"/>
                <w:szCs w:val="24"/>
              </w:rPr>
            </w:pPr>
            <w:r w:rsidRPr="00D16696">
              <w:rPr>
                <w:rFonts w:ascii="Arial" w:eastAsia="Times New Roman" w:hAnsi="Arial" w:cs="Arial"/>
                <w:szCs w:val="24"/>
              </w:rPr>
              <w:t>Low</w:t>
            </w:r>
          </w:p>
        </w:tc>
      </w:tr>
      <w:tr w:rsidR="00D16696" w:rsidRPr="00D16696" w14:paraId="17A9992C" w14:textId="77777777" w:rsidTr="00814876">
        <w:trPr>
          <w:jc w:val="center"/>
        </w:trPr>
        <w:tc>
          <w:tcPr>
            <w:tcW w:w="723" w:type="dxa"/>
            <w:tcBorders>
              <w:bottom w:val="nil"/>
              <w:right w:val="nil"/>
            </w:tcBorders>
          </w:tcPr>
          <w:p w14:paraId="7A64FD53" w14:textId="77777777" w:rsidR="00D16696" w:rsidRPr="00D16696" w:rsidRDefault="00D16696" w:rsidP="00D16696">
            <w:pPr>
              <w:spacing w:before="60" w:after="60" w:line="240" w:lineRule="auto"/>
              <w:jc w:val="both"/>
              <w:rPr>
                <w:rFonts w:ascii="Arial" w:eastAsia="Times New Roman" w:hAnsi="Arial" w:cs="Arial"/>
                <w:szCs w:val="24"/>
              </w:rPr>
            </w:pPr>
          </w:p>
        </w:tc>
        <w:tc>
          <w:tcPr>
            <w:tcW w:w="1146" w:type="dxa"/>
            <w:tcBorders>
              <w:left w:val="nil"/>
              <w:bottom w:val="nil"/>
            </w:tcBorders>
          </w:tcPr>
          <w:p w14:paraId="0F575FBA" w14:textId="77777777" w:rsidR="00D16696" w:rsidRPr="00D16696" w:rsidRDefault="00D16696" w:rsidP="00D16696">
            <w:pPr>
              <w:spacing w:before="60" w:after="60" w:line="240" w:lineRule="auto"/>
              <w:jc w:val="both"/>
              <w:rPr>
                <w:rFonts w:ascii="Arial" w:eastAsia="Times New Roman" w:hAnsi="Arial" w:cs="Arial"/>
                <w:szCs w:val="24"/>
              </w:rPr>
            </w:pPr>
          </w:p>
        </w:tc>
        <w:tc>
          <w:tcPr>
            <w:tcW w:w="1695" w:type="dxa"/>
          </w:tcPr>
          <w:p w14:paraId="26001EBD" w14:textId="77777777" w:rsidR="00D16696" w:rsidRPr="00D16696" w:rsidRDefault="00D16696" w:rsidP="00D16696">
            <w:pPr>
              <w:spacing w:before="60" w:after="60" w:line="240" w:lineRule="auto"/>
              <w:jc w:val="both"/>
              <w:rPr>
                <w:rFonts w:ascii="Arial" w:eastAsia="Times New Roman" w:hAnsi="Arial" w:cs="Arial"/>
                <w:sz w:val="20"/>
                <w:szCs w:val="24"/>
              </w:rPr>
            </w:pPr>
            <w:r w:rsidRPr="00D16696">
              <w:rPr>
                <w:rFonts w:ascii="Arial" w:eastAsia="Times New Roman" w:hAnsi="Arial" w:cs="Arial"/>
                <w:sz w:val="20"/>
                <w:szCs w:val="24"/>
              </w:rPr>
              <w:t>Very Unlikely</w:t>
            </w:r>
          </w:p>
        </w:tc>
        <w:tc>
          <w:tcPr>
            <w:tcW w:w="1559" w:type="dxa"/>
          </w:tcPr>
          <w:p w14:paraId="6DA80D07" w14:textId="77777777" w:rsidR="00D16696" w:rsidRPr="00D16696" w:rsidRDefault="00D16696" w:rsidP="00D16696">
            <w:pPr>
              <w:spacing w:before="60" w:after="60" w:line="240" w:lineRule="auto"/>
              <w:jc w:val="both"/>
              <w:rPr>
                <w:rFonts w:ascii="Arial" w:eastAsia="Times New Roman" w:hAnsi="Arial" w:cs="Arial"/>
                <w:sz w:val="20"/>
                <w:szCs w:val="24"/>
              </w:rPr>
            </w:pPr>
            <w:r w:rsidRPr="00D16696">
              <w:rPr>
                <w:rFonts w:ascii="Arial" w:eastAsia="Times New Roman" w:hAnsi="Arial" w:cs="Arial"/>
                <w:sz w:val="20"/>
                <w:szCs w:val="24"/>
              </w:rPr>
              <w:t>Unlikely</w:t>
            </w:r>
          </w:p>
        </w:tc>
        <w:tc>
          <w:tcPr>
            <w:tcW w:w="1560" w:type="dxa"/>
          </w:tcPr>
          <w:p w14:paraId="6308B39C" w14:textId="77777777" w:rsidR="00D16696" w:rsidRPr="00D16696" w:rsidRDefault="00D16696" w:rsidP="00D16696">
            <w:pPr>
              <w:spacing w:before="60" w:after="60" w:line="240" w:lineRule="auto"/>
              <w:jc w:val="both"/>
              <w:rPr>
                <w:rFonts w:ascii="Arial" w:eastAsia="Times New Roman" w:hAnsi="Arial" w:cs="Arial"/>
                <w:sz w:val="20"/>
                <w:szCs w:val="24"/>
              </w:rPr>
            </w:pPr>
            <w:r w:rsidRPr="00D16696">
              <w:rPr>
                <w:rFonts w:ascii="Arial" w:eastAsia="Times New Roman" w:hAnsi="Arial" w:cs="Arial"/>
                <w:sz w:val="20"/>
                <w:szCs w:val="24"/>
              </w:rPr>
              <w:t>Likely</w:t>
            </w:r>
          </w:p>
        </w:tc>
        <w:tc>
          <w:tcPr>
            <w:tcW w:w="1701" w:type="dxa"/>
          </w:tcPr>
          <w:p w14:paraId="5FDF616E" w14:textId="77777777" w:rsidR="00D16696" w:rsidRPr="00D16696" w:rsidRDefault="00D16696" w:rsidP="00D16696">
            <w:pPr>
              <w:spacing w:before="60" w:after="60" w:line="240" w:lineRule="auto"/>
              <w:jc w:val="both"/>
              <w:rPr>
                <w:rFonts w:ascii="Arial" w:eastAsia="Times New Roman" w:hAnsi="Arial" w:cs="Arial"/>
                <w:sz w:val="20"/>
                <w:szCs w:val="24"/>
              </w:rPr>
            </w:pPr>
            <w:r w:rsidRPr="00D16696">
              <w:rPr>
                <w:rFonts w:ascii="Arial" w:eastAsia="Times New Roman" w:hAnsi="Arial" w:cs="Arial"/>
                <w:sz w:val="20"/>
                <w:szCs w:val="24"/>
              </w:rPr>
              <w:t>Very Likely</w:t>
            </w:r>
          </w:p>
        </w:tc>
      </w:tr>
      <w:tr w:rsidR="00D16696" w:rsidRPr="00D16696" w14:paraId="575D256D" w14:textId="77777777" w:rsidTr="00814876">
        <w:trPr>
          <w:trHeight w:val="329"/>
          <w:jc w:val="center"/>
        </w:trPr>
        <w:tc>
          <w:tcPr>
            <w:tcW w:w="723" w:type="dxa"/>
            <w:tcBorders>
              <w:top w:val="nil"/>
              <w:right w:val="nil"/>
            </w:tcBorders>
          </w:tcPr>
          <w:p w14:paraId="6065E926" w14:textId="77777777" w:rsidR="00D16696" w:rsidRPr="00D16696" w:rsidRDefault="00D16696" w:rsidP="00D16696">
            <w:pPr>
              <w:spacing w:before="60" w:after="60" w:line="240" w:lineRule="auto"/>
              <w:jc w:val="both"/>
              <w:rPr>
                <w:rFonts w:ascii="Arial" w:eastAsia="Times New Roman" w:hAnsi="Arial" w:cs="Arial"/>
                <w:szCs w:val="24"/>
              </w:rPr>
            </w:pPr>
          </w:p>
        </w:tc>
        <w:tc>
          <w:tcPr>
            <w:tcW w:w="1146" w:type="dxa"/>
            <w:tcBorders>
              <w:top w:val="nil"/>
              <w:left w:val="nil"/>
            </w:tcBorders>
          </w:tcPr>
          <w:p w14:paraId="40AE518A" w14:textId="77777777" w:rsidR="00D16696" w:rsidRPr="00D16696" w:rsidRDefault="00D16696" w:rsidP="00D16696">
            <w:pPr>
              <w:spacing w:before="60" w:after="60" w:line="240" w:lineRule="auto"/>
              <w:jc w:val="both"/>
              <w:rPr>
                <w:rFonts w:ascii="Arial" w:eastAsia="Times New Roman" w:hAnsi="Arial" w:cs="Arial"/>
                <w:szCs w:val="24"/>
              </w:rPr>
            </w:pPr>
          </w:p>
        </w:tc>
        <w:tc>
          <w:tcPr>
            <w:tcW w:w="6515" w:type="dxa"/>
            <w:gridSpan w:val="4"/>
          </w:tcPr>
          <w:p w14:paraId="7A7AE2D6" w14:textId="77777777" w:rsidR="00D16696" w:rsidRPr="00D16696" w:rsidRDefault="00D16696" w:rsidP="00D16696">
            <w:pPr>
              <w:spacing w:before="60" w:after="60" w:line="240" w:lineRule="auto"/>
              <w:jc w:val="both"/>
              <w:rPr>
                <w:rFonts w:ascii="Arial" w:eastAsia="Times New Roman" w:hAnsi="Arial" w:cs="Arial"/>
                <w:b/>
                <w:szCs w:val="24"/>
              </w:rPr>
            </w:pPr>
            <w:r w:rsidRPr="00D16696">
              <w:rPr>
                <w:rFonts w:ascii="Arial" w:eastAsia="Times New Roman" w:hAnsi="Arial" w:cs="Arial"/>
                <w:b/>
                <w:szCs w:val="24"/>
              </w:rPr>
              <w:t>Likelihood</w:t>
            </w:r>
          </w:p>
        </w:tc>
      </w:tr>
    </w:tbl>
    <w:p w14:paraId="2B719FD7" w14:textId="77777777" w:rsidR="00D16696" w:rsidRPr="00D16696" w:rsidRDefault="00D16696" w:rsidP="00D16696">
      <w:pPr>
        <w:spacing w:after="0" w:line="240" w:lineRule="auto"/>
        <w:rPr>
          <w:rFonts w:ascii="Arial" w:eastAsia="Times New Roman" w:hAnsi="Arial" w:cs="Arial"/>
          <w:szCs w:val="24"/>
        </w:rPr>
      </w:pPr>
    </w:p>
    <w:p w14:paraId="78862FAC" w14:textId="77777777" w:rsidR="00D16696" w:rsidRDefault="00D16696" w:rsidP="00D16696">
      <w:pPr>
        <w:spacing w:after="0" w:line="240" w:lineRule="auto"/>
        <w:rPr>
          <w:rFonts w:ascii="Arial" w:eastAsia="Times New Roman" w:hAnsi="Arial" w:cs="Arial"/>
          <w:szCs w:val="24"/>
        </w:rPr>
      </w:pPr>
    </w:p>
    <w:p w14:paraId="7CB1E67A" w14:textId="0A06EA40" w:rsidR="00D16696" w:rsidRDefault="00D16696" w:rsidP="00D16696">
      <w:pPr>
        <w:spacing w:after="0" w:line="240" w:lineRule="auto"/>
        <w:rPr>
          <w:rFonts w:ascii="Arial" w:eastAsia="Times New Roman" w:hAnsi="Arial" w:cs="Arial"/>
          <w:szCs w:val="24"/>
        </w:rPr>
      </w:pPr>
    </w:p>
    <w:p w14:paraId="46554023" w14:textId="77777777" w:rsidR="00E14F79" w:rsidRDefault="00E14F79" w:rsidP="00D16696">
      <w:pPr>
        <w:spacing w:after="0" w:line="240" w:lineRule="auto"/>
        <w:rPr>
          <w:rFonts w:ascii="Arial" w:eastAsia="Times New Roman" w:hAnsi="Arial" w:cs="Arial"/>
          <w:szCs w:val="24"/>
        </w:rPr>
      </w:pPr>
    </w:p>
    <w:p w14:paraId="410DBB65" w14:textId="4EDFD9C3" w:rsidR="00D16696" w:rsidRPr="00D16696" w:rsidRDefault="00D16696" w:rsidP="00D16696">
      <w:pPr>
        <w:spacing w:after="0" w:line="240" w:lineRule="auto"/>
        <w:rPr>
          <w:rFonts w:ascii="Arial" w:eastAsia="Times New Roman" w:hAnsi="Arial" w:cs="Arial"/>
          <w:szCs w:val="24"/>
        </w:rPr>
      </w:pPr>
      <w:r w:rsidRPr="00D16696">
        <w:rPr>
          <w:rFonts w:ascii="Arial" w:eastAsia="Times New Roman" w:hAnsi="Arial" w:cs="Arial"/>
          <w:szCs w:val="24"/>
        </w:rPr>
        <w:lastRenderedPageBreak/>
        <w:t>Where</w:t>
      </w:r>
    </w:p>
    <w:p w14:paraId="46DAE5B0" w14:textId="77777777" w:rsidR="00D16696" w:rsidRPr="00D16696" w:rsidRDefault="00D16696" w:rsidP="00D16696">
      <w:pPr>
        <w:spacing w:after="0" w:line="240" w:lineRule="auto"/>
        <w:rPr>
          <w:rFonts w:ascii="Arial" w:eastAsia="Times New Roman"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985"/>
      </w:tblGrid>
      <w:tr w:rsidR="00D16696" w:rsidRPr="00D16696" w14:paraId="404DA571" w14:textId="77777777" w:rsidTr="00814876">
        <w:trPr>
          <w:trHeight w:val="1023"/>
          <w:jc w:val="center"/>
        </w:trPr>
        <w:tc>
          <w:tcPr>
            <w:tcW w:w="522" w:type="dxa"/>
            <w:tcBorders>
              <w:bottom w:val="single" w:sz="4" w:space="0" w:color="auto"/>
            </w:tcBorders>
            <w:shd w:val="clear" w:color="auto" w:fill="99CC00"/>
            <w:vAlign w:val="center"/>
          </w:tcPr>
          <w:p w14:paraId="56AA5C2A"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szCs w:val="24"/>
              </w:rPr>
              <w:t xml:space="preserve">Low Risk </w:t>
            </w:r>
          </w:p>
        </w:tc>
        <w:tc>
          <w:tcPr>
            <w:tcW w:w="8985" w:type="dxa"/>
            <w:vAlign w:val="center"/>
          </w:tcPr>
          <w:p w14:paraId="609E9F2F"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szCs w:val="24"/>
              </w:rPr>
              <w:t>No additional controls are necessary unless they can be implemented at very low cost (in terms of time, money and effort). Actions to further reduce these risks can be assigned low priority.</w:t>
            </w:r>
          </w:p>
        </w:tc>
      </w:tr>
      <w:tr w:rsidR="00D16696" w:rsidRPr="00D16696" w14:paraId="33E7FC7B" w14:textId="77777777" w:rsidTr="00814876">
        <w:trPr>
          <w:trHeight w:val="1123"/>
          <w:jc w:val="center"/>
        </w:trPr>
        <w:tc>
          <w:tcPr>
            <w:tcW w:w="522" w:type="dxa"/>
            <w:shd w:val="clear" w:color="auto" w:fill="FF6600"/>
            <w:vAlign w:val="center"/>
          </w:tcPr>
          <w:p w14:paraId="7DD0B1F2"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szCs w:val="24"/>
              </w:rPr>
              <w:t>Medium Risk</w:t>
            </w:r>
          </w:p>
        </w:tc>
        <w:tc>
          <w:tcPr>
            <w:tcW w:w="8985" w:type="dxa"/>
            <w:vAlign w:val="center"/>
          </w:tcPr>
          <w:p w14:paraId="4A477F35"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szCs w:val="24"/>
              </w:rPr>
              <w:t xml:space="preserve">Consideration should be given as to whether the risks can be lowered, where applicable, to a low risk level, but the costs of additional risk reduction measures should be </w:t>
            </w:r>
            <w:proofErr w:type="gramStart"/>
            <w:r w:rsidRPr="00D16696">
              <w:rPr>
                <w:rFonts w:ascii="Arial" w:eastAsia="Times New Roman" w:hAnsi="Arial" w:cs="Arial"/>
                <w:szCs w:val="24"/>
              </w:rPr>
              <w:t>take</w:t>
            </w:r>
            <w:proofErr w:type="gramEnd"/>
            <w:r w:rsidRPr="00D16696">
              <w:rPr>
                <w:rFonts w:ascii="Arial" w:eastAsia="Times New Roman" w:hAnsi="Arial" w:cs="Arial"/>
                <w:szCs w:val="24"/>
              </w:rPr>
              <w:t xml:space="preserve"> into account. The risk reduction measures should be implemented within a defined time period.</w:t>
            </w:r>
          </w:p>
        </w:tc>
      </w:tr>
      <w:tr w:rsidR="00D16696" w:rsidRPr="00D16696" w14:paraId="62BBC900" w14:textId="77777777" w:rsidTr="00814876">
        <w:trPr>
          <w:trHeight w:val="1440"/>
          <w:jc w:val="center"/>
        </w:trPr>
        <w:tc>
          <w:tcPr>
            <w:tcW w:w="522" w:type="dxa"/>
            <w:shd w:val="clear" w:color="auto" w:fill="993300"/>
            <w:vAlign w:val="center"/>
          </w:tcPr>
          <w:p w14:paraId="65CDC78F"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szCs w:val="24"/>
              </w:rPr>
              <w:t>High Risk</w:t>
            </w:r>
          </w:p>
        </w:tc>
        <w:tc>
          <w:tcPr>
            <w:tcW w:w="8985" w:type="dxa"/>
            <w:vAlign w:val="center"/>
          </w:tcPr>
          <w:p w14:paraId="226DA0BA"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szCs w:val="24"/>
              </w:rPr>
              <w:t>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 Considerable resources might have to be allocated to additional control measures.</w:t>
            </w:r>
          </w:p>
        </w:tc>
      </w:tr>
      <w:tr w:rsidR="00D16696" w:rsidRPr="00D16696" w14:paraId="50F4E63F" w14:textId="77777777" w:rsidTr="00814876">
        <w:trPr>
          <w:trHeight w:val="948"/>
          <w:jc w:val="center"/>
        </w:trPr>
        <w:tc>
          <w:tcPr>
            <w:tcW w:w="522" w:type="dxa"/>
            <w:shd w:val="clear" w:color="auto" w:fill="FF0000"/>
            <w:vAlign w:val="center"/>
          </w:tcPr>
          <w:p w14:paraId="591ADF23"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szCs w:val="24"/>
              </w:rPr>
              <w:t>Very High Risk</w:t>
            </w:r>
          </w:p>
        </w:tc>
        <w:tc>
          <w:tcPr>
            <w:tcW w:w="8985" w:type="dxa"/>
            <w:vAlign w:val="center"/>
          </w:tcPr>
          <w:p w14:paraId="76EF2F42" w14:textId="77777777" w:rsidR="00D16696" w:rsidRPr="00D16696" w:rsidRDefault="00D16696" w:rsidP="00D16696">
            <w:pPr>
              <w:spacing w:after="0" w:line="240" w:lineRule="auto"/>
              <w:contextualSpacing/>
              <w:jc w:val="both"/>
              <w:rPr>
                <w:rFonts w:ascii="Arial" w:eastAsia="Times New Roman" w:hAnsi="Arial" w:cs="Arial"/>
                <w:szCs w:val="24"/>
              </w:rPr>
            </w:pPr>
            <w:r w:rsidRPr="00D16696">
              <w:rPr>
                <w:rFonts w:ascii="Arial" w:eastAsia="Times New Roman" w:hAnsi="Arial" w:cs="Arial"/>
                <w:i/>
                <w:szCs w:val="24"/>
              </w:rPr>
              <w:t>These risks are unacceptable</w:t>
            </w:r>
            <w:r w:rsidRPr="00D16696">
              <w:rPr>
                <w:rFonts w:ascii="Arial" w:eastAsia="Times New Roman" w:hAnsi="Arial" w:cs="Arial"/>
                <w:szCs w:val="24"/>
              </w:rPr>
              <w:t>. Substantial improvements in risk controls are necessary. The work activity should be halted until risk controls are implemented. If it is not possible to reduce risk the work should remain prohibited.</w:t>
            </w:r>
          </w:p>
        </w:tc>
      </w:tr>
    </w:tbl>
    <w:p w14:paraId="7F6C5725" w14:textId="77777777" w:rsidR="00D676A3" w:rsidRDefault="00D676A3"/>
    <w:sectPr w:rsidR="00D676A3" w:rsidSect="001C231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2924D" w14:textId="77777777" w:rsidR="00FB2782" w:rsidRDefault="00FB2782" w:rsidP="00D06DAD">
      <w:pPr>
        <w:spacing w:after="0" w:line="240" w:lineRule="auto"/>
      </w:pPr>
      <w:r>
        <w:separator/>
      </w:r>
    </w:p>
  </w:endnote>
  <w:endnote w:type="continuationSeparator" w:id="0">
    <w:p w14:paraId="2EB44BA2" w14:textId="77777777" w:rsidR="00FB2782" w:rsidRDefault="00FB2782" w:rsidP="00D0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9DF8" w14:textId="77777777" w:rsidR="00D06DAD" w:rsidRDefault="00D06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B911" w14:textId="77777777" w:rsidR="00D06DAD" w:rsidRDefault="00D06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6C57" w14:textId="77777777" w:rsidR="00D06DAD" w:rsidRDefault="00D06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63A8" w14:textId="77777777" w:rsidR="00FB2782" w:rsidRDefault="00FB2782" w:rsidP="00D06DAD">
      <w:pPr>
        <w:spacing w:after="0" w:line="240" w:lineRule="auto"/>
      </w:pPr>
      <w:r>
        <w:separator/>
      </w:r>
    </w:p>
  </w:footnote>
  <w:footnote w:type="continuationSeparator" w:id="0">
    <w:p w14:paraId="52D97584" w14:textId="77777777" w:rsidR="00FB2782" w:rsidRDefault="00FB2782" w:rsidP="00D0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F9B4" w14:textId="77777777" w:rsidR="00D06DAD" w:rsidRDefault="00D06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1054" w14:textId="77777777" w:rsidR="00D06DAD" w:rsidRDefault="00D06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5CCA" w14:textId="77777777" w:rsidR="00D06DAD" w:rsidRDefault="00D06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56"/>
    <w:rsid w:val="00000557"/>
    <w:rsid w:val="0001284C"/>
    <w:rsid w:val="0001531C"/>
    <w:rsid w:val="00042FD6"/>
    <w:rsid w:val="00045DF9"/>
    <w:rsid w:val="0004763A"/>
    <w:rsid w:val="00057125"/>
    <w:rsid w:val="00060AE3"/>
    <w:rsid w:val="000728C2"/>
    <w:rsid w:val="00092B7E"/>
    <w:rsid w:val="00092EE0"/>
    <w:rsid w:val="000B0C60"/>
    <w:rsid w:val="000B0F44"/>
    <w:rsid w:val="0010615B"/>
    <w:rsid w:val="00122081"/>
    <w:rsid w:val="001453BD"/>
    <w:rsid w:val="00170475"/>
    <w:rsid w:val="00176DBA"/>
    <w:rsid w:val="0017722F"/>
    <w:rsid w:val="001969EB"/>
    <w:rsid w:val="001B1BC7"/>
    <w:rsid w:val="001C231A"/>
    <w:rsid w:val="001D3CCE"/>
    <w:rsid w:val="00206F15"/>
    <w:rsid w:val="002153AA"/>
    <w:rsid w:val="002168CE"/>
    <w:rsid w:val="00232891"/>
    <w:rsid w:val="00237952"/>
    <w:rsid w:val="00247FE9"/>
    <w:rsid w:val="0028566C"/>
    <w:rsid w:val="00294C4B"/>
    <w:rsid w:val="002A1688"/>
    <w:rsid w:val="002E7598"/>
    <w:rsid w:val="002F4729"/>
    <w:rsid w:val="00301AE7"/>
    <w:rsid w:val="00305A2A"/>
    <w:rsid w:val="00321B07"/>
    <w:rsid w:val="003435D0"/>
    <w:rsid w:val="00346620"/>
    <w:rsid w:val="00361E15"/>
    <w:rsid w:val="0037406C"/>
    <w:rsid w:val="00392376"/>
    <w:rsid w:val="003A6F59"/>
    <w:rsid w:val="003F5123"/>
    <w:rsid w:val="00405B76"/>
    <w:rsid w:val="0040689B"/>
    <w:rsid w:val="00423192"/>
    <w:rsid w:val="004340F3"/>
    <w:rsid w:val="00464ABF"/>
    <w:rsid w:val="00467905"/>
    <w:rsid w:val="00472770"/>
    <w:rsid w:val="0048282A"/>
    <w:rsid w:val="004A51F9"/>
    <w:rsid w:val="004B75BC"/>
    <w:rsid w:val="004D4EFA"/>
    <w:rsid w:val="004E1822"/>
    <w:rsid w:val="004F0474"/>
    <w:rsid w:val="00501F05"/>
    <w:rsid w:val="00513E0E"/>
    <w:rsid w:val="00517114"/>
    <w:rsid w:val="005230B0"/>
    <w:rsid w:val="005337F4"/>
    <w:rsid w:val="00536D09"/>
    <w:rsid w:val="00546E51"/>
    <w:rsid w:val="005569A4"/>
    <w:rsid w:val="0056595B"/>
    <w:rsid w:val="005C3F1C"/>
    <w:rsid w:val="005D0CC1"/>
    <w:rsid w:val="005F043D"/>
    <w:rsid w:val="00602CC7"/>
    <w:rsid w:val="00604BF4"/>
    <w:rsid w:val="00607BBE"/>
    <w:rsid w:val="00611DC8"/>
    <w:rsid w:val="006231EF"/>
    <w:rsid w:val="006323C4"/>
    <w:rsid w:val="00664862"/>
    <w:rsid w:val="0066558D"/>
    <w:rsid w:val="006940CC"/>
    <w:rsid w:val="006A4E0C"/>
    <w:rsid w:val="006B6263"/>
    <w:rsid w:val="006B76E7"/>
    <w:rsid w:val="006C68E5"/>
    <w:rsid w:val="006D48AD"/>
    <w:rsid w:val="006D6DD7"/>
    <w:rsid w:val="006F77D7"/>
    <w:rsid w:val="0070183A"/>
    <w:rsid w:val="00710CF7"/>
    <w:rsid w:val="00710D16"/>
    <w:rsid w:val="00712611"/>
    <w:rsid w:val="007373BE"/>
    <w:rsid w:val="00741D8B"/>
    <w:rsid w:val="00752FF7"/>
    <w:rsid w:val="0076661E"/>
    <w:rsid w:val="00796910"/>
    <w:rsid w:val="007B26F7"/>
    <w:rsid w:val="007F1358"/>
    <w:rsid w:val="007F679C"/>
    <w:rsid w:val="0080227E"/>
    <w:rsid w:val="008348C3"/>
    <w:rsid w:val="00853359"/>
    <w:rsid w:val="0086031D"/>
    <w:rsid w:val="00874EDC"/>
    <w:rsid w:val="00877AC4"/>
    <w:rsid w:val="00891566"/>
    <w:rsid w:val="008974C5"/>
    <w:rsid w:val="008B208B"/>
    <w:rsid w:val="008C035D"/>
    <w:rsid w:val="008C3C34"/>
    <w:rsid w:val="009022E3"/>
    <w:rsid w:val="00940EA7"/>
    <w:rsid w:val="00947CF0"/>
    <w:rsid w:val="0098133A"/>
    <w:rsid w:val="00995215"/>
    <w:rsid w:val="009A296B"/>
    <w:rsid w:val="009C5E67"/>
    <w:rsid w:val="009D3ADE"/>
    <w:rsid w:val="009D4098"/>
    <w:rsid w:val="009D5BF8"/>
    <w:rsid w:val="009D7542"/>
    <w:rsid w:val="009E6E22"/>
    <w:rsid w:val="009F6808"/>
    <w:rsid w:val="00A07C0D"/>
    <w:rsid w:val="00A21648"/>
    <w:rsid w:val="00A50287"/>
    <w:rsid w:val="00A6384E"/>
    <w:rsid w:val="00A86192"/>
    <w:rsid w:val="00A93637"/>
    <w:rsid w:val="00AA0EF5"/>
    <w:rsid w:val="00AB0867"/>
    <w:rsid w:val="00AC6C93"/>
    <w:rsid w:val="00B02834"/>
    <w:rsid w:val="00B2264B"/>
    <w:rsid w:val="00B244A6"/>
    <w:rsid w:val="00B37D7C"/>
    <w:rsid w:val="00B419A5"/>
    <w:rsid w:val="00B54E6B"/>
    <w:rsid w:val="00B70F60"/>
    <w:rsid w:val="00B77587"/>
    <w:rsid w:val="00B77EAB"/>
    <w:rsid w:val="00B91227"/>
    <w:rsid w:val="00B9128C"/>
    <w:rsid w:val="00BA127C"/>
    <w:rsid w:val="00BB5F0D"/>
    <w:rsid w:val="00BC2D65"/>
    <w:rsid w:val="00BC3F24"/>
    <w:rsid w:val="00BD4474"/>
    <w:rsid w:val="00BE4192"/>
    <w:rsid w:val="00BE683F"/>
    <w:rsid w:val="00C00D99"/>
    <w:rsid w:val="00C22CE3"/>
    <w:rsid w:val="00C30113"/>
    <w:rsid w:val="00C4177D"/>
    <w:rsid w:val="00C447E3"/>
    <w:rsid w:val="00C520A2"/>
    <w:rsid w:val="00C65FA8"/>
    <w:rsid w:val="00C92B07"/>
    <w:rsid w:val="00C94A55"/>
    <w:rsid w:val="00C950D1"/>
    <w:rsid w:val="00CA6434"/>
    <w:rsid w:val="00CB2B70"/>
    <w:rsid w:val="00CB482B"/>
    <w:rsid w:val="00CD2D5B"/>
    <w:rsid w:val="00CD4BCA"/>
    <w:rsid w:val="00D06DAD"/>
    <w:rsid w:val="00D16696"/>
    <w:rsid w:val="00D566CA"/>
    <w:rsid w:val="00D676A3"/>
    <w:rsid w:val="00D819D1"/>
    <w:rsid w:val="00D82151"/>
    <w:rsid w:val="00D83563"/>
    <w:rsid w:val="00D93B1E"/>
    <w:rsid w:val="00DA1FDB"/>
    <w:rsid w:val="00DD4913"/>
    <w:rsid w:val="00DE5CBB"/>
    <w:rsid w:val="00E140A8"/>
    <w:rsid w:val="00E14F79"/>
    <w:rsid w:val="00E22DC2"/>
    <w:rsid w:val="00E45495"/>
    <w:rsid w:val="00E53EBB"/>
    <w:rsid w:val="00E54502"/>
    <w:rsid w:val="00E65DD2"/>
    <w:rsid w:val="00E93056"/>
    <w:rsid w:val="00EA0C0B"/>
    <w:rsid w:val="00ED14DA"/>
    <w:rsid w:val="00EE0A1B"/>
    <w:rsid w:val="00F13A2F"/>
    <w:rsid w:val="00F71FBA"/>
    <w:rsid w:val="00FB2782"/>
    <w:rsid w:val="00FE0B4C"/>
    <w:rsid w:val="00FF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BE4B"/>
  <w15:chartTrackingRefBased/>
  <w15:docId w15:val="{31DD9E0C-D310-4885-B91E-A7A65E8F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AD"/>
  </w:style>
  <w:style w:type="paragraph" w:styleId="Heading1">
    <w:name w:val="heading 1"/>
    <w:basedOn w:val="Normal"/>
    <w:next w:val="Normal"/>
    <w:link w:val="Heading1Char"/>
    <w:uiPriority w:val="9"/>
    <w:qFormat/>
    <w:rsid w:val="00D06DA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06DA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06DA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06DA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06DA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06DA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06DA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06DA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06DA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DA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06D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06DA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06DA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06DA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06DA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06DA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06DA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06DA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06DAD"/>
    <w:pPr>
      <w:spacing w:line="240" w:lineRule="auto"/>
    </w:pPr>
    <w:rPr>
      <w:b/>
      <w:bCs/>
      <w:smallCaps/>
      <w:color w:val="44546A" w:themeColor="text2"/>
    </w:rPr>
  </w:style>
  <w:style w:type="paragraph" w:styleId="Title">
    <w:name w:val="Title"/>
    <w:basedOn w:val="Normal"/>
    <w:next w:val="Normal"/>
    <w:link w:val="TitleChar"/>
    <w:uiPriority w:val="10"/>
    <w:qFormat/>
    <w:rsid w:val="00D06DA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06DA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06DA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06DA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06DAD"/>
    <w:rPr>
      <w:b/>
      <w:bCs/>
    </w:rPr>
  </w:style>
  <w:style w:type="character" w:styleId="Emphasis">
    <w:name w:val="Emphasis"/>
    <w:basedOn w:val="DefaultParagraphFont"/>
    <w:uiPriority w:val="20"/>
    <w:qFormat/>
    <w:rsid w:val="00D06DAD"/>
    <w:rPr>
      <w:i/>
      <w:iCs/>
    </w:rPr>
  </w:style>
  <w:style w:type="paragraph" w:styleId="NoSpacing">
    <w:name w:val="No Spacing"/>
    <w:uiPriority w:val="1"/>
    <w:qFormat/>
    <w:rsid w:val="00D06DAD"/>
    <w:pPr>
      <w:spacing w:after="0" w:line="240" w:lineRule="auto"/>
    </w:pPr>
  </w:style>
  <w:style w:type="paragraph" w:styleId="Quote">
    <w:name w:val="Quote"/>
    <w:basedOn w:val="Normal"/>
    <w:next w:val="Normal"/>
    <w:link w:val="QuoteChar"/>
    <w:uiPriority w:val="29"/>
    <w:qFormat/>
    <w:rsid w:val="00D06DA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06DAD"/>
    <w:rPr>
      <w:color w:val="44546A" w:themeColor="text2"/>
      <w:sz w:val="24"/>
      <w:szCs w:val="24"/>
    </w:rPr>
  </w:style>
  <w:style w:type="paragraph" w:styleId="IntenseQuote">
    <w:name w:val="Intense Quote"/>
    <w:basedOn w:val="Normal"/>
    <w:next w:val="Normal"/>
    <w:link w:val="IntenseQuoteChar"/>
    <w:uiPriority w:val="30"/>
    <w:qFormat/>
    <w:rsid w:val="00D06DA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06DA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06DAD"/>
    <w:rPr>
      <w:i/>
      <w:iCs/>
      <w:color w:val="595959" w:themeColor="text1" w:themeTint="A6"/>
    </w:rPr>
  </w:style>
  <w:style w:type="character" w:styleId="IntenseEmphasis">
    <w:name w:val="Intense Emphasis"/>
    <w:basedOn w:val="DefaultParagraphFont"/>
    <w:uiPriority w:val="21"/>
    <w:qFormat/>
    <w:rsid w:val="00D06DAD"/>
    <w:rPr>
      <w:b/>
      <w:bCs/>
      <w:i/>
      <w:iCs/>
    </w:rPr>
  </w:style>
  <w:style w:type="character" w:styleId="SubtleReference">
    <w:name w:val="Subtle Reference"/>
    <w:basedOn w:val="DefaultParagraphFont"/>
    <w:uiPriority w:val="31"/>
    <w:qFormat/>
    <w:rsid w:val="00D06D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06DAD"/>
    <w:rPr>
      <w:b/>
      <w:bCs/>
      <w:smallCaps/>
      <w:color w:val="44546A" w:themeColor="text2"/>
      <w:u w:val="single"/>
    </w:rPr>
  </w:style>
  <w:style w:type="character" w:styleId="BookTitle">
    <w:name w:val="Book Title"/>
    <w:basedOn w:val="DefaultParagraphFont"/>
    <w:uiPriority w:val="33"/>
    <w:qFormat/>
    <w:rsid w:val="00D06DAD"/>
    <w:rPr>
      <w:b/>
      <w:bCs/>
      <w:smallCaps/>
      <w:spacing w:val="10"/>
    </w:rPr>
  </w:style>
  <w:style w:type="paragraph" w:styleId="TOCHeading">
    <w:name w:val="TOC Heading"/>
    <w:basedOn w:val="Heading1"/>
    <w:next w:val="Normal"/>
    <w:uiPriority w:val="39"/>
    <w:semiHidden/>
    <w:unhideWhenUsed/>
    <w:qFormat/>
    <w:rsid w:val="00D06DAD"/>
    <w:pPr>
      <w:outlineLvl w:val="9"/>
    </w:pPr>
  </w:style>
  <w:style w:type="paragraph" w:styleId="Header">
    <w:name w:val="header"/>
    <w:basedOn w:val="Normal"/>
    <w:link w:val="HeaderChar"/>
    <w:uiPriority w:val="99"/>
    <w:unhideWhenUsed/>
    <w:rsid w:val="00D06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DAD"/>
  </w:style>
  <w:style w:type="paragraph" w:styleId="Footer">
    <w:name w:val="footer"/>
    <w:basedOn w:val="Normal"/>
    <w:link w:val="FooterChar"/>
    <w:uiPriority w:val="99"/>
    <w:unhideWhenUsed/>
    <w:rsid w:val="00D06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DAD"/>
  </w:style>
  <w:style w:type="table" w:styleId="TableGrid">
    <w:name w:val="Table Grid"/>
    <w:basedOn w:val="TableNormal"/>
    <w:uiPriority w:val="39"/>
    <w:rsid w:val="0000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566"/>
    <w:rPr>
      <w:color w:val="0000FF"/>
      <w:u w:val="single"/>
    </w:rPr>
  </w:style>
  <w:style w:type="paragraph" w:styleId="BalloonText">
    <w:name w:val="Balloon Text"/>
    <w:basedOn w:val="Normal"/>
    <w:link w:val="BalloonTextChar"/>
    <w:uiPriority w:val="99"/>
    <w:semiHidden/>
    <w:unhideWhenUsed/>
    <w:rsid w:val="00802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7E"/>
    <w:rPr>
      <w:rFonts w:ascii="Segoe UI" w:hAnsi="Segoe UI" w:cs="Segoe UI"/>
      <w:sz w:val="18"/>
      <w:szCs w:val="18"/>
    </w:rPr>
  </w:style>
  <w:style w:type="character" w:styleId="FollowedHyperlink">
    <w:name w:val="FollowedHyperlink"/>
    <w:basedOn w:val="DefaultParagraphFont"/>
    <w:uiPriority w:val="99"/>
    <w:semiHidden/>
    <w:unhideWhenUsed/>
    <w:rsid w:val="00C00D99"/>
    <w:rPr>
      <w:color w:val="954F72" w:themeColor="followedHyperlink"/>
      <w:u w:val="single"/>
    </w:rPr>
  </w:style>
  <w:style w:type="character" w:styleId="UnresolvedMention">
    <w:name w:val="Unresolved Mention"/>
    <w:basedOn w:val="DefaultParagraphFont"/>
    <w:uiPriority w:val="99"/>
    <w:semiHidden/>
    <w:unhideWhenUsed/>
    <w:rsid w:val="0071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14614">
      <w:bodyDiv w:val="1"/>
      <w:marLeft w:val="0"/>
      <w:marRight w:val="0"/>
      <w:marTop w:val="0"/>
      <w:marBottom w:val="0"/>
      <w:divBdr>
        <w:top w:val="none" w:sz="0" w:space="0" w:color="auto"/>
        <w:left w:val="none" w:sz="0" w:space="0" w:color="auto"/>
        <w:bottom w:val="none" w:sz="0" w:space="0" w:color="auto"/>
        <w:right w:val="none" w:sz="0" w:space="0" w:color="auto"/>
      </w:divBdr>
      <w:divsChild>
        <w:div w:id="1010569689">
          <w:marLeft w:val="0"/>
          <w:marRight w:val="0"/>
          <w:marTop w:val="750"/>
          <w:marBottom w:val="750"/>
          <w:divBdr>
            <w:top w:val="none" w:sz="0" w:space="0" w:color="auto"/>
            <w:left w:val="none" w:sz="0" w:space="0" w:color="auto"/>
            <w:bottom w:val="none" w:sz="0" w:space="0" w:color="auto"/>
            <w:right w:val="none" w:sz="0" w:space="0" w:color="auto"/>
          </w:divBdr>
          <w:divsChild>
            <w:div w:id="1950437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2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fa.com/news/2020/jul/17/grassroots-guidance-for-competitive-football-restart-in-england-1707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conditions/coronavirus-covid-19/sympto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fcsecretary@gmai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8F0543765FD4D8746D9BF766ACFC1" ma:contentTypeVersion="9" ma:contentTypeDescription="Create a new document." ma:contentTypeScope="" ma:versionID="85793784b8f2404d31b63a882e53a52b">
  <xsd:schema xmlns:xsd="http://www.w3.org/2001/XMLSchema" xmlns:xs="http://www.w3.org/2001/XMLSchema" xmlns:p="http://schemas.microsoft.com/office/2006/metadata/properties" xmlns:ns3="781ca1f7-5515-458d-a3bb-bd34f2b27421" targetNamespace="http://schemas.microsoft.com/office/2006/metadata/properties" ma:root="true" ma:fieldsID="2caafeaaf26f8bfa73bb6c0306bd721f" ns3:_="">
    <xsd:import namespace="781ca1f7-5515-458d-a3bb-bd34f2b274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ca1f7-5515-458d-a3bb-bd34f2b27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A89A3-D284-4008-9588-CDD38F9D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ca1f7-5515-458d-a3bb-bd34f2b27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81E31-65C5-0548-A7CC-2FBC2AE56160}">
  <ds:schemaRefs>
    <ds:schemaRef ds:uri="http://schemas.openxmlformats.org/officeDocument/2006/bibliography"/>
  </ds:schemaRefs>
</ds:datastoreItem>
</file>

<file path=customXml/itemProps3.xml><?xml version="1.0" encoding="utf-8"?>
<ds:datastoreItem xmlns:ds="http://schemas.openxmlformats.org/officeDocument/2006/customXml" ds:itemID="{4E949E70-1EA5-46D8-9285-233144CD49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DFD1A-8D2C-4D88-A0FA-7980B1870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 Montgomery</cp:lastModifiedBy>
  <cp:revision>8</cp:revision>
  <dcterms:created xsi:type="dcterms:W3CDTF">2020-09-09T09:46:00Z</dcterms:created>
  <dcterms:modified xsi:type="dcterms:W3CDTF">2020-09-11T10:32:00Z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0x0101004188F0543765FD4D8746D9BF766ACFC1</vt:lpwstr>
  </property>
</Properties>
</file>